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8080" w:type="dxa"/>
        <w:tblInd w:w="250" w:type="dxa"/>
        <w:tblLook w:val="01E0" w:firstRow="1" w:lastRow="1" w:firstColumn="1" w:lastColumn="1" w:noHBand="0" w:noVBand="0"/>
      </w:tblPr>
      <w:tblGrid>
        <w:gridCol w:w="5238"/>
        <w:gridCol w:w="2842"/>
      </w:tblGrid>
      <w:tr w:rsidR="00645A48" w:rsidRPr="00CB0316" w14:paraId="352A6140" w14:textId="5E7A5525" w:rsidTr="00645A48">
        <w:tc>
          <w:tcPr>
            <w:tcW w:w="5238" w:type="dxa"/>
          </w:tcPr>
          <w:p w14:paraId="066EEDB7" w14:textId="447FF186" w:rsidR="00645A48" w:rsidRPr="00CB0316" w:rsidRDefault="00645A48" w:rsidP="00902962">
            <w:pPr>
              <w:keepNext/>
              <w:suppressAutoHyphens/>
              <w:spacing w:after="220"/>
              <w:ind w:left="-108"/>
              <w:jc w:val="left"/>
              <w:outlineLvl w:val="1"/>
              <w:rPr>
                <w:rFonts w:ascii="Times New Roman" w:eastAsia="Microsoft JhengHei" w:hAnsi="Times New Roman"/>
                <w:b/>
                <w:sz w:val="20"/>
              </w:rPr>
            </w:pPr>
            <w:r w:rsidRPr="00CB0316">
              <w:rPr>
                <w:rFonts w:ascii="Times New Roman" w:eastAsia="Microsoft JhengHei" w:hAnsi="Times New Roman"/>
                <w:b/>
                <w:sz w:val="20"/>
              </w:rPr>
              <w:t xml:space="preserve">SUPPLEMENT No. </w:t>
            </w:r>
            <w:r w:rsidR="000871B4" w:rsidRPr="00CB0316">
              <w:rPr>
                <w:rFonts w:ascii="Times New Roman" w:eastAsia="Microsoft JhengHei" w:hAnsi="Times New Roman"/>
                <w:b/>
                <w:sz w:val="20"/>
              </w:rPr>
              <w:t xml:space="preserve">4 </w:t>
            </w:r>
            <w:r w:rsidRPr="00CB0316">
              <w:rPr>
                <w:rFonts w:ascii="Times New Roman" w:eastAsia="Microsoft JhengHei" w:hAnsi="Times New Roman"/>
                <w:b/>
                <w:sz w:val="20"/>
              </w:rPr>
              <w:t>DATED</w:t>
            </w:r>
            <w:r w:rsidR="000871B4" w:rsidRPr="00CB0316">
              <w:rPr>
                <w:rFonts w:ascii="Times New Roman" w:eastAsia="Microsoft JhengHei" w:hAnsi="Times New Roman"/>
                <w:b/>
                <w:sz w:val="20"/>
              </w:rPr>
              <w:t xml:space="preserve"> 17 AUGUST</w:t>
            </w:r>
            <w:r w:rsidRPr="00CB0316">
              <w:rPr>
                <w:rFonts w:ascii="Times New Roman" w:eastAsia="Microsoft JhengHei" w:hAnsi="Times New Roman"/>
                <w:b/>
                <w:sz w:val="20"/>
              </w:rPr>
              <w:t xml:space="preserve"> 2023 TO THE OFFERING CIRCULAR DATED 20 APRIL 2023</w:t>
            </w:r>
          </w:p>
        </w:tc>
        <w:tc>
          <w:tcPr>
            <w:tcW w:w="2842" w:type="dxa"/>
          </w:tcPr>
          <w:p w14:paraId="68A24B29" w14:textId="77777777" w:rsidR="00645A48" w:rsidRPr="00CB0316" w:rsidRDefault="00645A48" w:rsidP="00645A48">
            <w:pPr>
              <w:keepNext/>
              <w:suppressAutoHyphens/>
              <w:spacing w:after="220"/>
              <w:outlineLvl w:val="1"/>
              <w:rPr>
                <w:rFonts w:ascii="Times New Roman" w:eastAsia="Microsoft JhengHei" w:hAnsi="Times New Roman"/>
                <w:b/>
                <w:sz w:val="20"/>
              </w:rPr>
            </w:pPr>
          </w:p>
        </w:tc>
      </w:tr>
    </w:tbl>
    <w:p w14:paraId="35E1A9AB" w14:textId="77777777" w:rsidR="006A0136" w:rsidRPr="00CB0316" w:rsidRDefault="00E23414" w:rsidP="00645A48">
      <w:pPr>
        <w:pStyle w:val="NormalAshurst"/>
        <w:ind w:left="567"/>
        <w:jc w:val="center"/>
        <w:rPr>
          <w:rFonts w:ascii="Times New Roman" w:hAnsi="Times New Roman" w:cs="Times New Roman"/>
        </w:rPr>
      </w:pPr>
    </w:p>
    <w:p w14:paraId="2D36E1A9" w14:textId="77777777" w:rsidR="006A0136" w:rsidRPr="00CB0316" w:rsidRDefault="00CF363F" w:rsidP="006A0136">
      <w:pPr>
        <w:spacing w:after="220"/>
        <w:jc w:val="center"/>
        <w:rPr>
          <w:rFonts w:ascii="Times New Roman" w:hAnsi="Times New Roman"/>
          <w:b/>
          <w:sz w:val="20"/>
        </w:rPr>
      </w:pPr>
      <w:r w:rsidRPr="00CB0316">
        <w:rPr>
          <w:rFonts w:ascii="Times New Roman" w:hAnsi="Times New Roman"/>
          <w:noProof/>
        </w:rPr>
        <w:drawing>
          <wp:inline distT="0" distB="0" distL="0" distR="0" wp14:anchorId="7988B92F" wp14:editId="0D352C46">
            <wp:extent cx="1729740" cy="457200"/>
            <wp:effectExtent l="0" t="0" r="381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tretch>
                      <a:fillRect/>
                    </a:stretch>
                  </pic:blipFill>
                  <pic:spPr bwMode="auto">
                    <a:xfrm>
                      <a:off x="0" y="0"/>
                      <a:ext cx="1729740" cy="457200"/>
                    </a:xfrm>
                    <a:prstGeom prst="rect">
                      <a:avLst/>
                    </a:prstGeom>
                    <a:noFill/>
                    <a:ln>
                      <a:noFill/>
                    </a:ln>
                  </pic:spPr>
                </pic:pic>
              </a:graphicData>
            </a:graphic>
          </wp:inline>
        </w:drawing>
      </w:r>
    </w:p>
    <w:p w14:paraId="2D7BD062" w14:textId="77777777" w:rsidR="006A0136" w:rsidRPr="00CB0316" w:rsidRDefault="00CF363F" w:rsidP="006A0136">
      <w:pPr>
        <w:pStyle w:val="StandardOCAshurst"/>
        <w:jc w:val="center"/>
        <w:rPr>
          <w:b/>
        </w:rPr>
      </w:pPr>
      <w:r w:rsidRPr="00CB0316">
        <w:rPr>
          <w:b/>
        </w:rPr>
        <w:t>J.P. Morgan Structured Products B.V.</w:t>
      </w:r>
    </w:p>
    <w:p w14:paraId="01F61E17" w14:textId="77777777" w:rsidR="006A0136" w:rsidRPr="00CB0316" w:rsidRDefault="00CF363F" w:rsidP="006A0136">
      <w:pPr>
        <w:pStyle w:val="NormalOCAshurst"/>
        <w:jc w:val="center"/>
      </w:pPr>
      <w:r w:rsidRPr="00CB0316">
        <w:t>(</w:t>
      </w:r>
      <w:r w:rsidRPr="00CB0316">
        <w:rPr>
          <w:i/>
        </w:rPr>
        <w:t>incorporated with limited liability in The Netherlands</w:t>
      </w:r>
      <w:r w:rsidRPr="00CB0316">
        <w:t>)</w:t>
      </w:r>
    </w:p>
    <w:p w14:paraId="59ED0DB4" w14:textId="77777777" w:rsidR="006A0136" w:rsidRPr="00CB0316" w:rsidRDefault="00CF363F" w:rsidP="006A0136">
      <w:pPr>
        <w:pStyle w:val="NormalOCAshurst"/>
        <w:jc w:val="center"/>
      </w:pPr>
      <w:r w:rsidRPr="00CB0316">
        <w:t>as Issuer</w:t>
      </w:r>
    </w:p>
    <w:p w14:paraId="763398D1" w14:textId="77777777" w:rsidR="006A0136" w:rsidRPr="00CB0316" w:rsidRDefault="00CF363F" w:rsidP="006A0136">
      <w:pPr>
        <w:pStyle w:val="StandardOCAshurst"/>
        <w:jc w:val="center"/>
        <w:rPr>
          <w:b/>
        </w:rPr>
      </w:pPr>
      <w:r w:rsidRPr="00CB0316">
        <w:rPr>
          <w:b/>
        </w:rPr>
        <w:t>JPMorgan Chase Financial Company LLC</w:t>
      </w:r>
    </w:p>
    <w:p w14:paraId="347A8662" w14:textId="77777777" w:rsidR="006A0136" w:rsidRPr="00CB0316" w:rsidRDefault="00CF363F" w:rsidP="006A0136">
      <w:pPr>
        <w:pStyle w:val="NormalOCAshurst"/>
        <w:jc w:val="center"/>
      </w:pPr>
      <w:r w:rsidRPr="00CB0316">
        <w:t>(</w:t>
      </w:r>
      <w:r w:rsidRPr="00CB0316">
        <w:rPr>
          <w:i/>
        </w:rPr>
        <w:t>incorporated with limited liability in the State of Delaware, United States of America</w:t>
      </w:r>
      <w:r w:rsidRPr="00CB0316">
        <w:t>)</w:t>
      </w:r>
    </w:p>
    <w:p w14:paraId="5B822C33" w14:textId="77777777" w:rsidR="006A0136" w:rsidRPr="00CB0316" w:rsidRDefault="00CF363F" w:rsidP="006A0136">
      <w:pPr>
        <w:pStyle w:val="NormalOCAshurst"/>
        <w:jc w:val="center"/>
      </w:pPr>
      <w:r w:rsidRPr="00CB0316">
        <w:t>as Issuer</w:t>
      </w:r>
    </w:p>
    <w:p w14:paraId="2BE68F20" w14:textId="77777777" w:rsidR="006A0136" w:rsidRPr="00CB0316" w:rsidRDefault="00E23414" w:rsidP="006A0136">
      <w:pPr>
        <w:pStyle w:val="NormalOCAshurst"/>
        <w:jc w:val="center"/>
      </w:pPr>
    </w:p>
    <w:p w14:paraId="470D75FF" w14:textId="77777777" w:rsidR="006A0136" w:rsidRPr="00CB0316" w:rsidRDefault="00CF363F" w:rsidP="006A0136">
      <w:pPr>
        <w:pStyle w:val="StandardOCAshurst"/>
        <w:jc w:val="center"/>
        <w:rPr>
          <w:b/>
        </w:rPr>
      </w:pPr>
      <w:r w:rsidRPr="00CB0316">
        <w:rPr>
          <w:b/>
        </w:rPr>
        <w:t>JPMorgan Chase Bank, N.A.</w:t>
      </w:r>
    </w:p>
    <w:p w14:paraId="6A749A64" w14:textId="77777777" w:rsidR="006A0136" w:rsidRPr="00CB0316" w:rsidRDefault="00CF363F" w:rsidP="006A0136">
      <w:pPr>
        <w:pStyle w:val="NormalOCAshurst"/>
        <w:jc w:val="center"/>
      </w:pPr>
      <w:r w:rsidRPr="00CB0316">
        <w:t>(</w:t>
      </w:r>
      <w:r w:rsidRPr="00CB0316">
        <w:rPr>
          <w:i/>
        </w:rPr>
        <w:t>a national banking association organised under the laws of the United States of America</w:t>
      </w:r>
      <w:r w:rsidRPr="00CB0316">
        <w:t>)</w:t>
      </w:r>
    </w:p>
    <w:p w14:paraId="1653D79B" w14:textId="77777777" w:rsidR="006A0136" w:rsidRPr="00CB0316" w:rsidRDefault="00CF363F" w:rsidP="006A0136">
      <w:pPr>
        <w:pStyle w:val="NormalOCAshurst"/>
        <w:spacing w:after="0"/>
        <w:jc w:val="center"/>
      </w:pPr>
      <w:r w:rsidRPr="00CB0316">
        <w:t>as Issuer and as Guarantor in respect of Securities</w:t>
      </w:r>
    </w:p>
    <w:p w14:paraId="298310A7" w14:textId="77777777" w:rsidR="006A0136" w:rsidRPr="00CB0316" w:rsidRDefault="00CF363F" w:rsidP="006A0136">
      <w:pPr>
        <w:pStyle w:val="NormalOCAshurst"/>
        <w:spacing w:after="0"/>
        <w:jc w:val="center"/>
      </w:pPr>
      <w:r w:rsidRPr="00CB0316">
        <w:t>issued by</w:t>
      </w:r>
    </w:p>
    <w:p w14:paraId="2422AB1D" w14:textId="77777777" w:rsidR="006A0136" w:rsidRPr="00CB0316" w:rsidRDefault="00CF363F" w:rsidP="006A0136">
      <w:pPr>
        <w:pStyle w:val="NormalOCAshurst"/>
        <w:jc w:val="center"/>
      </w:pPr>
      <w:r w:rsidRPr="00CB0316">
        <w:t>J.P. Morgan Structured Products B.V.</w:t>
      </w:r>
    </w:p>
    <w:p w14:paraId="610B4635" w14:textId="77777777" w:rsidR="006A0136" w:rsidRPr="00CB0316" w:rsidRDefault="00E23414" w:rsidP="006A0136">
      <w:pPr>
        <w:pStyle w:val="NormalOCAshurst"/>
        <w:jc w:val="center"/>
      </w:pPr>
    </w:p>
    <w:p w14:paraId="089154D2" w14:textId="77777777" w:rsidR="006A0136" w:rsidRPr="00CB0316" w:rsidRDefault="00CF363F" w:rsidP="006A0136">
      <w:pPr>
        <w:pStyle w:val="StandardOCAshurst"/>
        <w:jc w:val="center"/>
        <w:rPr>
          <w:b/>
        </w:rPr>
      </w:pPr>
      <w:r w:rsidRPr="00CB0316">
        <w:rPr>
          <w:b/>
        </w:rPr>
        <w:t>JPMorgan Chase &amp; Co.</w:t>
      </w:r>
    </w:p>
    <w:p w14:paraId="4A6FAF8A" w14:textId="77777777" w:rsidR="006A0136" w:rsidRPr="00CB0316" w:rsidRDefault="00CF363F" w:rsidP="006A0136">
      <w:pPr>
        <w:pStyle w:val="NormalOCAshurst"/>
        <w:jc w:val="center"/>
      </w:pPr>
      <w:r w:rsidRPr="00CB0316">
        <w:t>(</w:t>
      </w:r>
      <w:r w:rsidRPr="00CB0316">
        <w:rPr>
          <w:i/>
        </w:rPr>
        <w:t>incorporated in the State of Delaware, United States of America</w:t>
      </w:r>
      <w:r w:rsidRPr="00CB0316">
        <w:t>)</w:t>
      </w:r>
    </w:p>
    <w:p w14:paraId="39AE2443" w14:textId="77777777" w:rsidR="006A0136" w:rsidRPr="00CB0316" w:rsidRDefault="00CF363F" w:rsidP="006A0136">
      <w:pPr>
        <w:pStyle w:val="NormalOCAshurst"/>
        <w:spacing w:after="0"/>
        <w:jc w:val="center"/>
      </w:pPr>
      <w:r w:rsidRPr="00CB0316">
        <w:t>as Issuer and as Guarantor in respect of Securities</w:t>
      </w:r>
    </w:p>
    <w:p w14:paraId="68B20417" w14:textId="77777777" w:rsidR="006A0136" w:rsidRPr="00CB0316" w:rsidRDefault="00CF363F" w:rsidP="006A0136">
      <w:pPr>
        <w:pStyle w:val="NormalOCAshurst"/>
        <w:spacing w:after="0"/>
        <w:jc w:val="center"/>
      </w:pPr>
      <w:r w:rsidRPr="00CB0316">
        <w:t>issued by</w:t>
      </w:r>
    </w:p>
    <w:p w14:paraId="1053D9D3" w14:textId="77777777" w:rsidR="006A0136" w:rsidRPr="00CB0316" w:rsidRDefault="00CF363F" w:rsidP="006A0136">
      <w:pPr>
        <w:pStyle w:val="NormalOCAshurst"/>
        <w:spacing w:after="0"/>
        <w:jc w:val="center"/>
      </w:pPr>
      <w:r w:rsidRPr="00CB0316">
        <w:t>JPMorgan Chase Financial Company LLC</w:t>
      </w:r>
    </w:p>
    <w:p w14:paraId="7BD8239A" w14:textId="77777777" w:rsidR="006A0136" w:rsidRPr="00CB0316" w:rsidRDefault="00E23414" w:rsidP="006A0136">
      <w:pPr>
        <w:pStyle w:val="NormalOCAshurst"/>
        <w:jc w:val="center"/>
      </w:pPr>
    </w:p>
    <w:p w14:paraId="2DDAD4BD" w14:textId="77777777" w:rsidR="006A0136" w:rsidRPr="00CB0316" w:rsidRDefault="00CF363F" w:rsidP="006A0136">
      <w:pPr>
        <w:pStyle w:val="NormalOCAshurst"/>
        <w:jc w:val="center"/>
        <w:rPr>
          <w:b/>
        </w:rPr>
      </w:pPr>
      <w:r w:rsidRPr="00CB0316">
        <w:rPr>
          <w:b/>
        </w:rPr>
        <w:t>Structured Products Programme for the issuance</w:t>
      </w:r>
    </w:p>
    <w:p w14:paraId="3F203200" w14:textId="77777777" w:rsidR="006A0136" w:rsidRPr="00CB0316" w:rsidRDefault="00CF363F" w:rsidP="006A0136">
      <w:pPr>
        <w:pStyle w:val="NormalOCAshurst"/>
        <w:jc w:val="center"/>
        <w:rPr>
          <w:b/>
        </w:rPr>
      </w:pPr>
      <w:r w:rsidRPr="00CB0316">
        <w:rPr>
          <w:b/>
        </w:rPr>
        <w:t>of</w:t>
      </w:r>
    </w:p>
    <w:p w14:paraId="512AED96" w14:textId="77777777" w:rsidR="006A0136" w:rsidRPr="00CB0316" w:rsidRDefault="00CF363F" w:rsidP="006A0136">
      <w:pPr>
        <w:pStyle w:val="NormalOCAshurst"/>
        <w:jc w:val="center"/>
        <w:rPr>
          <w:b/>
        </w:rPr>
      </w:pPr>
      <w:r w:rsidRPr="00CB0316">
        <w:rPr>
          <w:b/>
        </w:rPr>
        <w:t>Notes, Warrants and Certificates</w:t>
      </w:r>
    </w:p>
    <w:p w14:paraId="76E9672F" w14:textId="77777777" w:rsidR="006A0136" w:rsidRPr="00CB0316" w:rsidRDefault="00E23414" w:rsidP="006A0136">
      <w:pPr>
        <w:pStyle w:val="NormalOCAshurst"/>
        <w:jc w:val="center"/>
      </w:pPr>
    </w:p>
    <w:p w14:paraId="73287227" w14:textId="77777777" w:rsidR="006A0136" w:rsidRPr="00CB0316" w:rsidRDefault="00CF363F" w:rsidP="006A0136">
      <w:pPr>
        <w:pStyle w:val="NormalOCAshurst"/>
        <w:jc w:val="center"/>
        <w:rPr>
          <w:b/>
          <w:i/>
        </w:rPr>
      </w:pPr>
      <w:r w:rsidRPr="00CB0316">
        <w:rPr>
          <w:b/>
          <w:i/>
        </w:rPr>
        <w:t>Arranger and Dealer for the Programme</w:t>
      </w:r>
    </w:p>
    <w:p w14:paraId="71B03A93" w14:textId="77777777" w:rsidR="006A0136" w:rsidRPr="00CB0316" w:rsidRDefault="00CF363F" w:rsidP="006A0136">
      <w:pPr>
        <w:pStyle w:val="NormalOCAshurst"/>
        <w:jc w:val="center"/>
        <w:rPr>
          <w:b/>
        </w:rPr>
      </w:pPr>
      <w:r w:rsidRPr="00CB0316">
        <w:rPr>
          <w:b/>
        </w:rPr>
        <w:t>J.P. Morgan</w:t>
      </w:r>
    </w:p>
    <w:p w14:paraId="10C415B6" w14:textId="77777777" w:rsidR="006A0136" w:rsidRPr="00CB0316" w:rsidRDefault="00E23414" w:rsidP="006A0136">
      <w:pPr>
        <w:pStyle w:val="NormalOCAshurst"/>
        <w:jc w:val="center"/>
        <w:rPr>
          <w:b/>
        </w:rPr>
      </w:pPr>
    </w:p>
    <w:p w14:paraId="4D81A7C8" w14:textId="77777777" w:rsidR="006A0136" w:rsidRPr="00CB0316" w:rsidRDefault="00E23414" w:rsidP="006A0136">
      <w:pPr>
        <w:pStyle w:val="NormalOCAshurst"/>
        <w:jc w:val="center"/>
        <w:rPr>
          <w:b/>
        </w:rPr>
      </w:pPr>
    </w:p>
    <w:p w14:paraId="020E7422" w14:textId="77777777" w:rsidR="006A0136" w:rsidRPr="00CB0316" w:rsidRDefault="00E23414" w:rsidP="006A0136">
      <w:pPr>
        <w:pStyle w:val="NormalOCAshurst"/>
        <w:jc w:val="center"/>
        <w:rPr>
          <w:b/>
        </w:rPr>
      </w:pPr>
    </w:p>
    <w:p w14:paraId="7F89F2F9" w14:textId="77777777" w:rsidR="006A0136" w:rsidRPr="00CB0316" w:rsidRDefault="00E23414" w:rsidP="006A0136">
      <w:pPr>
        <w:pStyle w:val="NormalOCAshurst"/>
        <w:rPr>
          <w:b/>
        </w:rPr>
      </w:pPr>
    </w:p>
    <w:p w14:paraId="6A3B2442" w14:textId="77777777" w:rsidR="006A0136" w:rsidRPr="00CB0316" w:rsidRDefault="00E23414" w:rsidP="006A0136">
      <w:pPr>
        <w:autoSpaceDE w:val="0"/>
        <w:autoSpaceDN w:val="0"/>
        <w:adjustRightInd w:val="0"/>
        <w:spacing w:line="240" w:lineRule="auto"/>
        <w:rPr>
          <w:rFonts w:ascii="Times New Roman" w:hAnsi="Times New Roman"/>
          <w:sz w:val="20"/>
          <w:szCs w:val="20"/>
        </w:rPr>
        <w:sectPr w:rsidR="006A0136" w:rsidRPr="00CB0316" w:rsidSect="00530B13">
          <w:headerReference w:type="even" r:id="rId8"/>
          <w:headerReference w:type="default" r:id="rId9"/>
          <w:footerReference w:type="even" r:id="rId10"/>
          <w:footerReference w:type="default" r:id="rId11"/>
          <w:headerReference w:type="first" r:id="rId12"/>
          <w:footerReference w:type="first" r:id="rId13"/>
          <w:pgSz w:w="11907" w:h="16839"/>
          <w:pgMar w:top="1440" w:right="1800" w:bottom="1440" w:left="1800" w:header="708" w:footer="708" w:gutter="0"/>
          <w:paperSrc w:first="265" w:other="265"/>
          <w:cols w:space="708"/>
          <w:docGrid w:linePitch="360"/>
        </w:sectPr>
      </w:pPr>
    </w:p>
    <w:p w14:paraId="79EAD4CF" w14:textId="77777777" w:rsidR="006A0136" w:rsidRPr="00CB0316" w:rsidRDefault="00CF363F" w:rsidP="006A0136">
      <w:pPr>
        <w:pStyle w:val="NormalOCAshurst"/>
        <w:jc w:val="left"/>
        <w:rPr>
          <w:b/>
        </w:rPr>
      </w:pPr>
      <w:r w:rsidRPr="00CB0316">
        <w:rPr>
          <w:b/>
        </w:rPr>
        <w:lastRenderedPageBreak/>
        <w:t>Supplement to the Offering Circular</w:t>
      </w:r>
    </w:p>
    <w:p w14:paraId="40F30B6D" w14:textId="68789035" w:rsidR="006A0136" w:rsidRPr="00CB0316" w:rsidRDefault="00CF363F" w:rsidP="006A0136">
      <w:pPr>
        <w:pStyle w:val="NormalAshurst"/>
        <w:tabs>
          <w:tab w:val="left" w:pos="5670"/>
        </w:tabs>
        <w:rPr>
          <w:rFonts w:ascii="Times New Roman" w:hAnsi="Times New Roman" w:cs="Times New Roman"/>
          <w:sz w:val="20"/>
        </w:rPr>
      </w:pPr>
      <w:r w:rsidRPr="00CB0316">
        <w:rPr>
          <w:rFonts w:ascii="Times New Roman" w:hAnsi="Times New Roman" w:cs="Times New Roman"/>
          <w:sz w:val="20"/>
        </w:rPr>
        <w:t>This supplement (the "</w:t>
      </w:r>
      <w:r w:rsidRPr="00CB0316">
        <w:rPr>
          <w:rFonts w:ascii="Times New Roman" w:hAnsi="Times New Roman" w:cs="Times New Roman"/>
          <w:b/>
          <w:sz w:val="20"/>
        </w:rPr>
        <w:t>Supplement</w:t>
      </w:r>
      <w:r w:rsidRPr="00CB0316">
        <w:rPr>
          <w:rFonts w:ascii="Times New Roman" w:hAnsi="Times New Roman" w:cs="Times New Roman"/>
          <w:sz w:val="20"/>
        </w:rPr>
        <w:t>") constitutes a supplement to the offering circular dated 2</w:t>
      </w:r>
      <w:r w:rsidR="00F13F6A" w:rsidRPr="00CB0316">
        <w:rPr>
          <w:rFonts w:ascii="Times New Roman" w:hAnsi="Times New Roman" w:cs="Times New Roman"/>
          <w:sz w:val="20"/>
        </w:rPr>
        <w:t>0</w:t>
      </w:r>
      <w:r w:rsidRPr="00CB0316">
        <w:rPr>
          <w:rFonts w:ascii="Times New Roman" w:hAnsi="Times New Roman" w:cs="Times New Roman"/>
          <w:sz w:val="20"/>
        </w:rPr>
        <w:t xml:space="preserve"> April </w:t>
      </w:r>
      <w:r w:rsidR="00F13F6A" w:rsidRPr="00CB0316">
        <w:rPr>
          <w:rFonts w:ascii="Times New Roman" w:hAnsi="Times New Roman" w:cs="Times New Roman"/>
          <w:sz w:val="20"/>
        </w:rPr>
        <w:t xml:space="preserve">2023 </w:t>
      </w:r>
      <w:r w:rsidR="00F449C7" w:rsidRPr="00CB0316">
        <w:rPr>
          <w:rFonts w:ascii="Times New Roman" w:hAnsi="Times New Roman" w:cs="Times New Roman"/>
          <w:sz w:val="20"/>
        </w:rPr>
        <w:t>(the "</w:t>
      </w:r>
      <w:r w:rsidR="00F449C7" w:rsidRPr="00CB0316">
        <w:rPr>
          <w:rFonts w:ascii="Times New Roman" w:hAnsi="Times New Roman" w:cs="Times New Roman"/>
          <w:b/>
          <w:sz w:val="20"/>
        </w:rPr>
        <w:t>Original Offering Circular</w:t>
      </w:r>
      <w:r w:rsidR="00F449C7" w:rsidRPr="00CB0316">
        <w:rPr>
          <w:rFonts w:ascii="Times New Roman" w:hAnsi="Times New Roman" w:cs="Times New Roman"/>
          <w:sz w:val="20"/>
        </w:rPr>
        <w:t>"), as supplemented by Supplement No. 1 dated 17 May 2023</w:t>
      </w:r>
      <w:r w:rsidR="000871B4" w:rsidRPr="00CB0316">
        <w:rPr>
          <w:rFonts w:ascii="Times New Roman" w:hAnsi="Times New Roman" w:cs="Times New Roman"/>
          <w:sz w:val="20"/>
        </w:rPr>
        <w:t xml:space="preserve">, </w:t>
      </w:r>
      <w:r w:rsidR="00804781" w:rsidRPr="00CB0316">
        <w:rPr>
          <w:rFonts w:ascii="Times New Roman" w:hAnsi="Times New Roman" w:cs="Times New Roman"/>
          <w:sz w:val="20"/>
        </w:rPr>
        <w:t>Supplement No. 2 dated 13 July 2023</w:t>
      </w:r>
      <w:r w:rsidR="00F449C7" w:rsidRPr="00CB0316">
        <w:rPr>
          <w:rFonts w:ascii="Times New Roman" w:hAnsi="Times New Roman" w:cs="Times New Roman"/>
          <w:sz w:val="20"/>
        </w:rPr>
        <w:t xml:space="preserve"> </w:t>
      </w:r>
      <w:r w:rsidR="000871B4" w:rsidRPr="00CB0316">
        <w:rPr>
          <w:rFonts w:ascii="Times New Roman" w:hAnsi="Times New Roman" w:cs="Times New Roman"/>
          <w:sz w:val="20"/>
        </w:rPr>
        <w:t xml:space="preserve">and Supplement No. 3 dated 27 July 2023 </w:t>
      </w:r>
      <w:r w:rsidR="00F449C7" w:rsidRPr="00CB0316">
        <w:rPr>
          <w:rFonts w:ascii="Times New Roman" w:hAnsi="Times New Roman" w:cs="Times New Roman"/>
          <w:sz w:val="20"/>
        </w:rPr>
        <w:t>(the Original Offering Circular as so supplemented, the "</w:t>
      </w:r>
      <w:r w:rsidR="00F449C7" w:rsidRPr="00CB0316">
        <w:rPr>
          <w:rFonts w:ascii="Times New Roman" w:hAnsi="Times New Roman" w:cs="Times New Roman"/>
          <w:b/>
          <w:bCs/>
          <w:sz w:val="20"/>
        </w:rPr>
        <w:t>Offering Circular</w:t>
      </w:r>
      <w:r w:rsidR="00F449C7" w:rsidRPr="00CB0316">
        <w:rPr>
          <w:rFonts w:ascii="Times New Roman" w:hAnsi="Times New Roman" w:cs="Times New Roman"/>
          <w:sz w:val="20"/>
        </w:rPr>
        <w:t xml:space="preserve">"), </w:t>
      </w:r>
      <w:r w:rsidRPr="00CB0316">
        <w:rPr>
          <w:rFonts w:ascii="Times New Roman" w:hAnsi="Times New Roman" w:cs="Times New Roman"/>
          <w:sz w:val="20"/>
        </w:rPr>
        <w:t>prepared in connection with the Note, Warrant and Certificate Programme (the "</w:t>
      </w:r>
      <w:r w:rsidRPr="00CB0316">
        <w:rPr>
          <w:rFonts w:ascii="Times New Roman" w:hAnsi="Times New Roman" w:cs="Times New Roman"/>
          <w:b/>
          <w:sz w:val="20"/>
        </w:rPr>
        <w:t>Programme</w:t>
      </w:r>
      <w:r w:rsidRPr="00CB0316">
        <w:rPr>
          <w:rFonts w:ascii="Times New Roman" w:hAnsi="Times New Roman" w:cs="Times New Roman"/>
          <w:sz w:val="20"/>
        </w:rPr>
        <w:t>") of J.P. Morgan Structured Products B.V. ("</w:t>
      </w:r>
      <w:r w:rsidRPr="00CB0316">
        <w:rPr>
          <w:rFonts w:ascii="Times New Roman" w:hAnsi="Times New Roman" w:cs="Times New Roman"/>
          <w:b/>
          <w:sz w:val="20"/>
        </w:rPr>
        <w:t>JPMSP</w:t>
      </w:r>
      <w:r w:rsidRPr="00CB0316">
        <w:rPr>
          <w:rFonts w:ascii="Times New Roman" w:hAnsi="Times New Roman" w:cs="Times New Roman"/>
          <w:sz w:val="20"/>
        </w:rPr>
        <w:t>"), JPMorgan Chase Financial Company LLC ("</w:t>
      </w:r>
      <w:r w:rsidRPr="00CB0316">
        <w:rPr>
          <w:rFonts w:ascii="Times New Roman" w:hAnsi="Times New Roman" w:cs="Times New Roman"/>
          <w:b/>
          <w:sz w:val="20"/>
        </w:rPr>
        <w:t>JPMCFC</w:t>
      </w:r>
      <w:r w:rsidRPr="00CB0316">
        <w:rPr>
          <w:rFonts w:ascii="Times New Roman" w:hAnsi="Times New Roman" w:cs="Times New Roman"/>
          <w:sz w:val="20"/>
        </w:rPr>
        <w:t>"), JPMorgan Chase Bank, N.A. and JPMorgan Chase &amp; Co.</w:t>
      </w:r>
    </w:p>
    <w:p w14:paraId="470A22BF" w14:textId="77777777" w:rsidR="006A0136" w:rsidRPr="00CB0316" w:rsidRDefault="00CF363F" w:rsidP="006A0136">
      <w:pPr>
        <w:pStyle w:val="NormalOCAshurst"/>
        <w:jc w:val="left"/>
        <w:rPr>
          <w:b/>
        </w:rPr>
      </w:pPr>
      <w:r w:rsidRPr="00CB0316">
        <w:rPr>
          <w:b/>
        </w:rPr>
        <w:t>Status of Supplement</w:t>
      </w:r>
    </w:p>
    <w:p w14:paraId="4230510C" w14:textId="77777777" w:rsidR="00F13F6A" w:rsidRPr="00CB0316" w:rsidRDefault="00F13F6A" w:rsidP="00F13F6A">
      <w:pPr>
        <w:pStyle w:val="NormalAshurst"/>
        <w:rPr>
          <w:rFonts w:ascii="Times New Roman" w:hAnsi="Times New Roman" w:cs="Times New Roman"/>
          <w:sz w:val="20"/>
        </w:rPr>
      </w:pPr>
      <w:r w:rsidRPr="00CB0316">
        <w:rPr>
          <w:rFonts w:ascii="Times New Roman" w:hAnsi="Times New Roman" w:cs="Times New Roman"/>
          <w:sz w:val="20"/>
        </w:rPr>
        <w:t>The Supplement is supplemental to, and shall be read in conjunction with, the Offering Circular. Unless otherwise defined in this Supplement, terms defined in the Offering Circular have the same meaning when used in this Supplement.</w:t>
      </w:r>
    </w:p>
    <w:p w14:paraId="015148AD" w14:textId="77777777" w:rsidR="00F13F6A" w:rsidRPr="00CB0316" w:rsidRDefault="00F13F6A" w:rsidP="00F13F6A">
      <w:pPr>
        <w:pStyle w:val="NormalAshurst"/>
        <w:rPr>
          <w:rFonts w:ascii="Times New Roman" w:hAnsi="Times New Roman" w:cs="Times New Roman"/>
          <w:sz w:val="20"/>
        </w:rPr>
      </w:pPr>
      <w:r w:rsidRPr="00CB0316">
        <w:rPr>
          <w:rFonts w:ascii="Times New Roman" w:hAnsi="Times New Roman" w:cs="Times New Roman"/>
          <w:sz w:val="20"/>
        </w:rPr>
        <w:t>The Supplement has been approved by Euronext Dublin pursuant to the GEM Rules and by the Luxembourg Stock Exchange pursuant to the rules and regulations of the Luxembourg Stock Exchange for the Euro MTF Market.</w:t>
      </w:r>
    </w:p>
    <w:p w14:paraId="3176C43B" w14:textId="6844E340" w:rsidR="007946F0" w:rsidRPr="00CB0316" w:rsidRDefault="00CF363F" w:rsidP="006A0136">
      <w:pPr>
        <w:pStyle w:val="NormalAshurst"/>
        <w:rPr>
          <w:rFonts w:ascii="Times New Roman" w:hAnsi="Times New Roman" w:cs="Times New Roman"/>
          <w:sz w:val="20"/>
        </w:rPr>
      </w:pPr>
      <w:r w:rsidRPr="00CB0316">
        <w:rPr>
          <w:rFonts w:ascii="Times New Roman" w:hAnsi="Times New Roman" w:cs="Times New Roman"/>
          <w:sz w:val="20"/>
        </w:rPr>
        <w:t>The Supplement has been filed with SIX Exchange Regulation Ltd as the competent reviewing body (the "</w:t>
      </w:r>
      <w:r w:rsidRPr="00CB0316">
        <w:rPr>
          <w:rFonts w:ascii="Times New Roman" w:hAnsi="Times New Roman" w:cs="Times New Roman"/>
          <w:b/>
          <w:bCs/>
          <w:sz w:val="20"/>
        </w:rPr>
        <w:t>Reviewing Body</w:t>
      </w:r>
      <w:r w:rsidRPr="00CB0316">
        <w:rPr>
          <w:rFonts w:ascii="Times New Roman" w:hAnsi="Times New Roman" w:cs="Times New Roman"/>
          <w:sz w:val="20"/>
        </w:rPr>
        <w:t>") under the Swiss Financial Services Act ("</w:t>
      </w:r>
      <w:r w:rsidRPr="00CB0316">
        <w:rPr>
          <w:rFonts w:ascii="Times New Roman" w:hAnsi="Times New Roman" w:cs="Times New Roman"/>
          <w:b/>
          <w:bCs/>
          <w:sz w:val="20"/>
        </w:rPr>
        <w:t>FinSA</w:t>
      </w:r>
      <w:r w:rsidRPr="00CB0316">
        <w:rPr>
          <w:rFonts w:ascii="Times New Roman" w:hAnsi="Times New Roman" w:cs="Times New Roman"/>
          <w:sz w:val="20"/>
        </w:rPr>
        <w:t xml:space="preserve">") on </w:t>
      </w:r>
      <w:r w:rsidR="000871B4" w:rsidRPr="00CB0316">
        <w:rPr>
          <w:rFonts w:ascii="Times New Roman" w:hAnsi="Times New Roman" w:cs="Times New Roman"/>
          <w:sz w:val="20"/>
        </w:rPr>
        <w:t>17 August 2023</w:t>
      </w:r>
      <w:r w:rsidRPr="00CB0316">
        <w:rPr>
          <w:rFonts w:ascii="Times New Roman" w:hAnsi="Times New Roman" w:cs="Times New Roman"/>
          <w:sz w:val="20"/>
        </w:rPr>
        <w:t>.</w:t>
      </w:r>
    </w:p>
    <w:p w14:paraId="3452EA72" w14:textId="77777777" w:rsidR="006A0136" w:rsidRPr="00CB0316" w:rsidRDefault="00CF363F" w:rsidP="006A0136">
      <w:pPr>
        <w:pStyle w:val="NormalOCAshurst"/>
        <w:jc w:val="left"/>
        <w:rPr>
          <w:b/>
        </w:rPr>
      </w:pPr>
      <w:r w:rsidRPr="00CB0316">
        <w:rPr>
          <w:b/>
        </w:rPr>
        <w:t>Responsibility</w:t>
      </w:r>
    </w:p>
    <w:p w14:paraId="7892A3EF" w14:textId="77777777" w:rsidR="00F13F6A" w:rsidRPr="00CB0316" w:rsidRDefault="00F13F6A" w:rsidP="00F13F6A">
      <w:pPr>
        <w:pStyle w:val="NormalAshurst"/>
        <w:rPr>
          <w:rFonts w:ascii="Times New Roman" w:hAnsi="Times New Roman" w:cs="Times New Roman"/>
          <w:sz w:val="20"/>
        </w:rPr>
      </w:pPr>
      <w:r w:rsidRPr="00CB0316">
        <w:rPr>
          <w:rFonts w:ascii="Times New Roman" w:hAnsi="Times New Roman" w:cs="Times New Roman"/>
          <w:sz w:val="20"/>
        </w:rPr>
        <w:t>Each of JPMSP, JPMCFC, JPMorgan Chase Bank, N.A. and JPMorgan Chase &amp; Co. accepts responsibility for the information contained in this Supplement and to the best of the knowledge of JPMSP, JPMCFC, JPMorgan Chase Bank, N.A. and JPMorgan Chase &amp; Co. (each having taken all reasonable care to ensure that such is the case), the information contained in this Supplement is in accordance with the facts and does not omit anything likely to affect the import of such information.</w:t>
      </w:r>
    </w:p>
    <w:p w14:paraId="4463C94A" w14:textId="77777777" w:rsidR="006A0136" w:rsidRPr="00CB0316" w:rsidRDefault="00CF363F" w:rsidP="006A0136">
      <w:pPr>
        <w:pStyle w:val="NormalAshurst"/>
        <w:rPr>
          <w:rFonts w:ascii="Times New Roman" w:hAnsi="Times New Roman" w:cs="Times New Roman"/>
          <w:b/>
          <w:sz w:val="20"/>
        </w:rPr>
      </w:pPr>
      <w:r w:rsidRPr="00CB0316">
        <w:rPr>
          <w:rFonts w:ascii="Times New Roman" w:hAnsi="Times New Roman" w:cs="Times New Roman"/>
          <w:b/>
          <w:sz w:val="20"/>
        </w:rPr>
        <w:t>Purpose of Supplement</w:t>
      </w:r>
    </w:p>
    <w:p w14:paraId="49156C0D" w14:textId="59EE1CA6" w:rsidR="00804781" w:rsidRPr="00CB0316" w:rsidRDefault="000871B4" w:rsidP="000871B4">
      <w:pPr>
        <w:pStyle w:val="NormalAshurst"/>
        <w:rPr>
          <w:rFonts w:ascii="Times New Roman" w:hAnsi="Times New Roman" w:cs="Times New Roman"/>
          <w:sz w:val="20"/>
        </w:rPr>
      </w:pPr>
      <w:r w:rsidRPr="00CB0316">
        <w:rPr>
          <w:rFonts w:ascii="Times New Roman" w:hAnsi="Times New Roman" w:cs="Times New Roman"/>
          <w:sz w:val="20"/>
        </w:rPr>
        <w:t xml:space="preserve">The purpose of this Supplement is to (i) incorporate by reference into the Offering Circular the JPMorgan Chase &amp; Co. 30 June 2023 Form 10-Q, the </w:t>
      </w:r>
      <w:bookmarkStart w:id="0" w:name="_Hlk47514606"/>
      <w:r w:rsidRPr="00CB0316">
        <w:rPr>
          <w:rFonts w:ascii="Times New Roman" w:hAnsi="Times New Roman" w:cs="Times New Roman"/>
          <w:sz w:val="20"/>
        </w:rPr>
        <w:t>JPMorgan Chase Bank, N.A. 2023 Interim Financial Statements</w:t>
      </w:r>
      <w:bookmarkEnd w:id="0"/>
      <w:r w:rsidRPr="00CB0316">
        <w:rPr>
          <w:rFonts w:ascii="Times New Roman" w:hAnsi="Times New Roman" w:cs="Times New Roman"/>
          <w:sz w:val="20"/>
        </w:rPr>
        <w:t xml:space="preserve">, the Supplement No. </w:t>
      </w:r>
      <w:r w:rsidR="00002D75" w:rsidRPr="00CB0316">
        <w:rPr>
          <w:rFonts w:ascii="Times New Roman" w:hAnsi="Times New Roman" w:cs="Times New Roman"/>
          <w:sz w:val="20"/>
        </w:rPr>
        <w:t>4</w:t>
      </w:r>
      <w:r w:rsidRPr="00CB0316">
        <w:rPr>
          <w:rFonts w:ascii="Times New Roman" w:hAnsi="Times New Roman" w:cs="Times New Roman"/>
          <w:sz w:val="20"/>
        </w:rPr>
        <w:t xml:space="preserve"> to the Registration Document of JPMorgan Chase &amp; Co</w:t>
      </w:r>
      <w:r w:rsidR="00533748" w:rsidRPr="00CB0316">
        <w:rPr>
          <w:rFonts w:ascii="Times New Roman" w:hAnsi="Times New Roman" w:cs="Times New Roman"/>
          <w:sz w:val="20"/>
        </w:rPr>
        <w:t>.</w:t>
      </w:r>
      <w:r w:rsidRPr="00CB0316">
        <w:rPr>
          <w:rFonts w:ascii="Times New Roman" w:hAnsi="Times New Roman" w:cs="Times New Roman"/>
          <w:sz w:val="20"/>
        </w:rPr>
        <w:t xml:space="preserve"> and </w:t>
      </w:r>
      <w:r w:rsidR="00C35530" w:rsidRPr="00CB0316">
        <w:rPr>
          <w:rFonts w:ascii="Times New Roman" w:hAnsi="Times New Roman" w:cs="Times New Roman"/>
          <w:sz w:val="20"/>
        </w:rPr>
        <w:t xml:space="preserve">the </w:t>
      </w:r>
      <w:r w:rsidRPr="00CB0316">
        <w:rPr>
          <w:rFonts w:ascii="Times New Roman" w:hAnsi="Times New Roman" w:cs="Times New Roman"/>
          <w:sz w:val="20"/>
        </w:rPr>
        <w:t xml:space="preserve">Supplement No. </w:t>
      </w:r>
      <w:r w:rsidR="00002D75" w:rsidRPr="00CB0316">
        <w:rPr>
          <w:rFonts w:ascii="Times New Roman" w:hAnsi="Times New Roman" w:cs="Times New Roman"/>
          <w:sz w:val="20"/>
        </w:rPr>
        <w:t>4</w:t>
      </w:r>
      <w:r w:rsidRPr="00CB0316">
        <w:rPr>
          <w:rFonts w:ascii="Times New Roman" w:hAnsi="Times New Roman" w:cs="Times New Roman"/>
          <w:sz w:val="20"/>
        </w:rPr>
        <w:t xml:space="preserve"> to the Registration Document of JPMorgan Chase Bank, N.A. and (ii) amend and supplement the sections entitled</w:t>
      </w:r>
      <w:r w:rsidR="00533748" w:rsidRPr="00CB0316">
        <w:rPr>
          <w:rFonts w:ascii="Times New Roman" w:hAnsi="Times New Roman" w:cs="Times New Roman"/>
          <w:sz w:val="20"/>
        </w:rPr>
        <w:t xml:space="preserve"> </w:t>
      </w:r>
      <w:r w:rsidR="009137F5" w:rsidRPr="00CB0316">
        <w:rPr>
          <w:rFonts w:ascii="Times New Roman" w:hAnsi="Times New Roman" w:cs="Times New Roman"/>
          <w:sz w:val="20"/>
        </w:rPr>
        <w:t>"</w:t>
      </w:r>
      <w:r w:rsidR="00533748" w:rsidRPr="00CB0316">
        <w:rPr>
          <w:rFonts w:ascii="Times New Roman" w:hAnsi="Times New Roman" w:cs="Times New Roman"/>
          <w:sz w:val="20"/>
        </w:rPr>
        <w:t>Summary of the Programme</w:t>
      </w:r>
      <w:r w:rsidR="009137F5" w:rsidRPr="00CB0316">
        <w:rPr>
          <w:rFonts w:ascii="Times New Roman" w:hAnsi="Times New Roman" w:cs="Times New Roman"/>
          <w:sz w:val="20"/>
        </w:rPr>
        <w:t>"</w:t>
      </w:r>
      <w:r w:rsidR="00533748" w:rsidRPr="00CB0316">
        <w:rPr>
          <w:rFonts w:ascii="Times New Roman" w:hAnsi="Times New Roman" w:cs="Times New Roman"/>
          <w:sz w:val="20"/>
        </w:rPr>
        <w:t xml:space="preserve">, </w:t>
      </w:r>
      <w:r w:rsidR="009137F5" w:rsidRPr="00CB0316">
        <w:rPr>
          <w:rFonts w:ascii="Times New Roman" w:hAnsi="Times New Roman" w:cs="Times New Roman"/>
          <w:sz w:val="20"/>
        </w:rPr>
        <w:t>"</w:t>
      </w:r>
      <w:r w:rsidR="00533748" w:rsidRPr="00CB0316">
        <w:rPr>
          <w:rFonts w:ascii="Times New Roman" w:hAnsi="Times New Roman" w:cs="Times New Roman"/>
          <w:sz w:val="20"/>
        </w:rPr>
        <w:t>Risk Factors</w:t>
      </w:r>
      <w:r w:rsidR="009137F5" w:rsidRPr="00CB0316">
        <w:rPr>
          <w:rFonts w:ascii="Times New Roman" w:hAnsi="Times New Roman" w:cs="Times New Roman"/>
          <w:sz w:val="20"/>
        </w:rPr>
        <w:t>"</w:t>
      </w:r>
      <w:r w:rsidR="00533748" w:rsidRPr="00CB0316">
        <w:rPr>
          <w:rFonts w:ascii="Times New Roman" w:hAnsi="Times New Roman" w:cs="Times New Roman"/>
          <w:sz w:val="20"/>
        </w:rPr>
        <w:t xml:space="preserve">, </w:t>
      </w:r>
      <w:r w:rsidR="00C939D9" w:rsidRPr="00CB0316">
        <w:rPr>
          <w:rFonts w:ascii="Times New Roman" w:hAnsi="Times New Roman" w:cs="Times New Roman"/>
          <w:sz w:val="20"/>
        </w:rPr>
        <w:t xml:space="preserve">"General Description of the Programme", </w:t>
      </w:r>
      <w:r w:rsidR="009137F5" w:rsidRPr="00CB0316">
        <w:rPr>
          <w:rFonts w:ascii="Times New Roman" w:hAnsi="Times New Roman" w:cs="Times New Roman"/>
          <w:sz w:val="20"/>
        </w:rPr>
        <w:t>"</w:t>
      </w:r>
      <w:r w:rsidR="00533748" w:rsidRPr="00CB0316">
        <w:rPr>
          <w:rFonts w:ascii="Times New Roman" w:hAnsi="Times New Roman" w:cs="Times New Roman"/>
          <w:sz w:val="20"/>
        </w:rPr>
        <w:t>General Conditions</w:t>
      </w:r>
      <w:r w:rsidR="009137F5" w:rsidRPr="00CB0316">
        <w:rPr>
          <w:rFonts w:ascii="Times New Roman" w:hAnsi="Times New Roman" w:cs="Times New Roman"/>
          <w:sz w:val="20"/>
        </w:rPr>
        <w:t>"</w:t>
      </w:r>
      <w:r w:rsidR="00533748" w:rsidRPr="00CB0316">
        <w:rPr>
          <w:rFonts w:ascii="Times New Roman" w:hAnsi="Times New Roman" w:cs="Times New Roman"/>
          <w:sz w:val="20"/>
        </w:rPr>
        <w:t xml:space="preserve">, </w:t>
      </w:r>
      <w:r w:rsidR="009137F5" w:rsidRPr="00CB0316">
        <w:rPr>
          <w:rFonts w:ascii="Times New Roman" w:hAnsi="Times New Roman" w:cs="Times New Roman"/>
          <w:sz w:val="20"/>
        </w:rPr>
        <w:t>"</w:t>
      </w:r>
      <w:r w:rsidR="00533748" w:rsidRPr="00CB0316">
        <w:rPr>
          <w:rFonts w:ascii="Times New Roman" w:hAnsi="Times New Roman" w:cs="Times New Roman"/>
          <w:sz w:val="20"/>
        </w:rPr>
        <w:t>Form of Pricing Supplement</w:t>
      </w:r>
      <w:r w:rsidR="009137F5" w:rsidRPr="00CB0316">
        <w:rPr>
          <w:rFonts w:ascii="Times New Roman" w:hAnsi="Times New Roman" w:cs="Times New Roman"/>
          <w:sz w:val="20"/>
        </w:rPr>
        <w:t>"</w:t>
      </w:r>
      <w:r w:rsidR="00533748" w:rsidRPr="00CB0316">
        <w:rPr>
          <w:rFonts w:ascii="Times New Roman" w:hAnsi="Times New Roman" w:cs="Times New Roman"/>
          <w:sz w:val="20"/>
        </w:rPr>
        <w:t xml:space="preserve"> and </w:t>
      </w:r>
      <w:r w:rsidR="009137F5" w:rsidRPr="00CB0316">
        <w:rPr>
          <w:rFonts w:ascii="Times New Roman" w:hAnsi="Times New Roman" w:cs="Times New Roman"/>
          <w:sz w:val="20"/>
        </w:rPr>
        <w:t>"</w:t>
      </w:r>
      <w:r w:rsidR="00533748" w:rsidRPr="00CB0316">
        <w:rPr>
          <w:rFonts w:ascii="Times New Roman" w:hAnsi="Times New Roman" w:cs="Times New Roman"/>
          <w:sz w:val="20"/>
        </w:rPr>
        <w:t>Information Relating to Sustainable Securities</w:t>
      </w:r>
      <w:r w:rsidR="009137F5" w:rsidRPr="00CB0316">
        <w:rPr>
          <w:rFonts w:ascii="Times New Roman" w:hAnsi="Times New Roman" w:cs="Times New Roman"/>
          <w:sz w:val="20"/>
        </w:rPr>
        <w:t>"</w:t>
      </w:r>
      <w:r w:rsidR="00687D10" w:rsidRPr="00CB0316">
        <w:rPr>
          <w:rFonts w:ascii="Times New Roman" w:hAnsi="Times New Roman" w:cs="Times New Roman"/>
          <w:sz w:val="20"/>
        </w:rPr>
        <w:t xml:space="preserve"> in the Offering Circular</w:t>
      </w:r>
      <w:r w:rsidR="00533748" w:rsidRPr="00CB0316">
        <w:rPr>
          <w:rFonts w:ascii="Times New Roman" w:hAnsi="Times New Roman" w:cs="Times New Roman"/>
          <w:sz w:val="20"/>
        </w:rPr>
        <w:t xml:space="preserve">. </w:t>
      </w:r>
      <w:r w:rsidR="00804781" w:rsidRPr="00CB0316">
        <w:rPr>
          <w:rFonts w:ascii="Times New Roman" w:hAnsi="Times New Roman" w:cs="Times New Roman"/>
          <w:sz w:val="20"/>
        </w:rPr>
        <w:br w:type="page"/>
      </w:r>
    </w:p>
    <w:p w14:paraId="77A7EBE2" w14:textId="77777777" w:rsidR="000871B4" w:rsidRPr="00CB0316" w:rsidRDefault="000871B4" w:rsidP="000871B4">
      <w:pPr>
        <w:pStyle w:val="NormalAshurst"/>
        <w:keepNext/>
        <w:rPr>
          <w:rFonts w:ascii="Times New Roman" w:hAnsi="Times New Roman" w:cs="Times New Roman"/>
          <w:b/>
          <w:sz w:val="20"/>
          <w:szCs w:val="20"/>
        </w:rPr>
      </w:pPr>
      <w:bookmarkStart w:id="1" w:name="_Hlk140481195"/>
      <w:bookmarkStart w:id="2" w:name="_Hlk140480685"/>
      <w:r w:rsidRPr="00CB0316">
        <w:rPr>
          <w:rFonts w:ascii="Times New Roman" w:hAnsi="Times New Roman" w:cs="Times New Roman"/>
          <w:b/>
          <w:sz w:val="20"/>
          <w:szCs w:val="20"/>
        </w:rPr>
        <w:lastRenderedPageBreak/>
        <w:t>Information being supplemented</w:t>
      </w:r>
    </w:p>
    <w:p w14:paraId="00112974" w14:textId="77777777" w:rsidR="000871B4" w:rsidRPr="00CB0316" w:rsidRDefault="000871B4" w:rsidP="00671ADE">
      <w:pPr>
        <w:pStyle w:val="NormalOCAshurst"/>
        <w:ind w:left="709" w:hanging="709"/>
        <w:jc w:val="left"/>
        <w:rPr>
          <w:b/>
        </w:rPr>
      </w:pPr>
      <w:r w:rsidRPr="00CB0316">
        <w:rPr>
          <w:b/>
        </w:rPr>
        <w:t>I.</w:t>
      </w:r>
      <w:r w:rsidRPr="00CB0316">
        <w:rPr>
          <w:b/>
        </w:rPr>
        <w:tab/>
        <w:t>Incorporation by reference</w:t>
      </w:r>
    </w:p>
    <w:p w14:paraId="2D6FED6E" w14:textId="5A395CD8" w:rsidR="000871B4" w:rsidRPr="00CB0316" w:rsidRDefault="000871B4" w:rsidP="00671ADE">
      <w:pPr>
        <w:pStyle w:val="NormalAshurst"/>
        <w:ind w:left="709"/>
        <w:rPr>
          <w:rFonts w:ascii="Times New Roman" w:hAnsi="Times New Roman" w:cs="Times New Roman"/>
          <w:sz w:val="20"/>
          <w:szCs w:val="20"/>
        </w:rPr>
      </w:pPr>
      <w:r w:rsidRPr="00CB0316">
        <w:rPr>
          <w:rFonts w:ascii="Times New Roman" w:hAnsi="Times New Roman" w:cs="Times New Roman"/>
          <w:sz w:val="20"/>
          <w:szCs w:val="20"/>
        </w:rPr>
        <w:t>This Supplement incorporates the following documents by reference into the</w:t>
      </w:r>
      <w:r w:rsidR="007C0B2B" w:rsidRPr="00CB0316">
        <w:rPr>
          <w:rFonts w:ascii="Times New Roman" w:hAnsi="Times New Roman" w:cs="Times New Roman"/>
          <w:sz w:val="20"/>
          <w:szCs w:val="20"/>
        </w:rPr>
        <w:t xml:space="preserve"> Offering Circular</w:t>
      </w:r>
      <w:r w:rsidRPr="00CB0316">
        <w:rPr>
          <w:rFonts w:ascii="Times New Roman" w:hAnsi="Times New Roman" w:cs="Times New Roman"/>
          <w:sz w:val="20"/>
          <w:szCs w:val="20"/>
        </w:rPr>
        <w:t>:</w:t>
      </w:r>
    </w:p>
    <w:p w14:paraId="39F467D5" w14:textId="2F913AD2" w:rsidR="000871B4" w:rsidRPr="00CB0316" w:rsidRDefault="000871B4" w:rsidP="00671ADE">
      <w:pPr>
        <w:pStyle w:val="NormalAshurst"/>
        <w:ind w:left="1276" w:hanging="567"/>
        <w:rPr>
          <w:rFonts w:ascii="Times New Roman" w:hAnsi="Times New Roman" w:cs="Times New Roman"/>
          <w:sz w:val="20"/>
          <w:szCs w:val="20"/>
        </w:rPr>
      </w:pPr>
      <w:r w:rsidRPr="00CB0316">
        <w:rPr>
          <w:rFonts w:ascii="Times New Roman" w:hAnsi="Times New Roman" w:cs="Times New Roman"/>
          <w:sz w:val="20"/>
          <w:szCs w:val="20"/>
        </w:rPr>
        <w:t>(a)</w:t>
      </w:r>
      <w:r w:rsidRPr="00CB0316">
        <w:rPr>
          <w:rFonts w:ascii="Times New Roman" w:hAnsi="Times New Roman" w:cs="Times New Roman"/>
          <w:b/>
          <w:sz w:val="20"/>
          <w:szCs w:val="20"/>
        </w:rPr>
        <w:tab/>
      </w:r>
      <w:bookmarkStart w:id="3" w:name="_Hlk47532733"/>
      <w:r w:rsidRPr="00CB0316">
        <w:rPr>
          <w:rFonts w:ascii="Times New Roman" w:hAnsi="Times New Roman" w:cs="Times New Roman"/>
          <w:sz w:val="20"/>
          <w:szCs w:val="20"/>
        </w:rPr>
        <w:t>the Quarterly Report on Form 10-Q of JPMorgan Chase &amp; Co. for the quarter ended 30 June 2023, containing the unaudited consolidated financial statements of JPMorgan Chase &amp; Co. for the six months ended 30 June 2023, as filed with the United States Securities and Exchange Commission on 3 August 2023 (the "</w:t>
      </w:r>
      <w:bookmarkStart w:id="4" w:name="_Hlk47514635"/>
      <w:r w:rsidRPr="00CB0316">
        <w:rPr>
          <w:rFonts w:ascii="Times New Roman" w:hAnsi="Times New Roman" w:cs="Times New Roman"/>
          <w:b/>
          <w:bCs/>
          <w:sz w:val="20"/>
          <w:szCs w:val="20"/>
        </w:rPr>
        <w:t>JPMorgan Chase &amp; Co. 30 June 2023 Form 10-Q</w:t>
      </w:r>
      <w:bookmarkEnd w:id="4"/>
      <w:r w:rsidRPr="00CB0316">
        <w:rPr>
          <w:rFonts w:ascii="Times New Roman" w:hAnsi="Times New Roman" w:cs="Times New Roman"/>
          <w:sz w:val="20"/>
          <w:szCs w:val="20"/>
        </w:rPr>
        <w:t>")</w:t>
      </w:r>
      <w:bookmarkEnd w:id="3"/>
      <w:r w:rsidRPr="00CB0316">
        <w:rPr>
          <w:rFonts w:ascii="Times New Roman" w:hAnsi="Times New Roman" w:cs="Times New Roman"/>
          <w:sz w:val="20"/>
          <w:szCs w:val="20"/>
        </w:rPr>
        <w:t>; and</w:t>
      </w:r>
    </w:p>
    <w:p w14:paraId="704039CE" w14:textId="28838E43" w:rsidR="000871B4" w:rsidRPr="00CB0316" w:rsidRDefault="000871B4" w:rsidP="00671ADE">
      <w:pPr>
        <w:pStyle w:val="NormalAshurst"/>
        <w:ind w:left="1276" w:hanging="567"/>
        <w:rPr>
          <w:rFonts w:ascii="Times New Roman" w:hAnsi="Times New Roman" w:cs="Times New Roman"/>
          <w:i/>
          <w:iCs/>
          <w:sz w:val="20"/>
          <w:szCs w:val="20"/>
        </w:rPr>
      </w:pPr>
      <w:r w:rsidRPr="00CB0316">
        <w:rPr>
          <w:rFonts w:ascii="Times New Roman" w:hAnsi="Times New Roman" w:cs="Times New Roman"/>
          <w:sz w:val="20"/>
          <w:szCs w:val="20"/>
        </w:rPr>
        <w:t>(b)</w:t>
      </w:r>
      <w:bookmarkStart w:id="5" w:name="_Hlk47523262"/>
      <w:r w:rsidRPr="00CB0316">
        <w:rPr>
          <w:rFonts w:ascii="Times New Roman" w:hAnsi="Times New Roman" w:cs="Times New Roman"/>
          <w:b/>
          <w:sz w:val="20"/>
          <w:szCs w:val="20"/>
        </w:rPr>
        <w:tab/>
      </w:r>
      <w:r w:rsidRPr="00CB0316">
        <w:rPr>
          <w:rFonts w:ascii="Times New Roman" w:hAnsi="Times New Roman" w:cs="Times New Roman"/>
          <w:bCs/>
          <w:sz w:val="20"/>
          <w:szCs w:val="20"/>
        </w:rPr>
        <w:t>the unaudited Consolidated Financial Statements of JPMorgan Chase Bank, N.A. for the six months ended 30 June 2023 (the "</w:t>
      </w:r>
      <w:r w:rsidRPr="00CB0316">
        <w:rPr>
          <w:rFonts w:ascii="Times New Roman" w:hAnsi="Times New Roman" w:cs="Times New Roman"/>
          <w:sz w:val="20"/>
          <w:szCs w:val="20"/>
          <w:lang w:eastAsia="zh-CN"/>
        </w:rPr>
        <w:t xml:space="preserve"> </w:t>
      </w:r>
      <w:r w:rsidRPr="00CB0316">
        <w:rPr>
          <w:rFonts w:ascii="Times New Roman" w:hAnsi="Times New Roman" w:cs="Times New Roman"/>
          <w:b/>
          <w:sz w:val="20"/>
          <w:szCs w:val="20"/>
        </w:rPr>
        <w:t>JPMorgan Chase Bank, N.A. 2023 Interim Financial Statements</w:t>
      </w:r>
      <w:r w:rsidRPr="00CB0316">
        <w:rPr>
          <w:rFonts w:ascii="Times New Roman" w:hAnsi="Times New Roman" w:cs="Times New Roman"/>
          <w:bCs/>
          <w:sz w:val="20"/>
          <w:szCs w:val="20"/>
        </w:rPr>
        <w:t>"</w:t>
      </w:r>
      <w:bookmarkEnd w:id="5"/>
      <w:r w:rsidRPr="00CB0316">
        <w:rPr>
          <w:rFonts w:ascii="Times New Roman" w:hAnsi="Times New Roman" w:cs="Times New Roman"/>
          <w:sz w:val="20"/>
          <w:szCs w:val="20"/>
        </w:rPr>
        <w:t>)</w:t>
      </w:r>
      <w:r w:rsidRPr="00CB0316">
        <w:rPr>
          <w:rFonts w:ascii="Times New Roman" w:hAnsi="Times New Roman" w:cs="Times New Roman"/>
          <w:i/>
          <w:iCs/>
          <w:sz w:val="20"/>
          <w:szCs w:val="20"/>
        </w:rPr>
        <w:t xml:space="preserve">; </w:t>
      </w:r>
    </w:p>
    <w:p w14:paraId="6AF69576" w14:textId="5971F113" w:rsidR="000871B4" w:rsidRPr="00CB0316" w:rsidRDefault="000871B4" w:rsidP="00671ADE">
      <w:pPr>
        <w:pStyle w:val="NormalAshurst"/>
        <w:ind w:left="1276" w:hanging="567"/>
        <w:rPr>
          <w:rFonts w:ascii="Times New Roman" w:hAnsi="Times New Roman" w:cs="Times New Roman"/>
          <w:bCs/>
          <w:sz w:val="20"/>
          <w:szCs w:val="20"/>
        </w:rPr>
      </w:pPr>
      <w:r w:rsidRPr="00CB0316">
        <w:rPr>
          <w:rFonts w:ascii="Times New Roman" w:hAnsi="Times New Roman" w:cs="Times New Roman"/>
          <w:bCs/>
          <w:sz w:val="20"/>
          <w:szCs w:val="20"/>
        </w:rPr>
        <w:t>(c)</w:t>
      </w:r>
      <w:bookmarkStart w:id="6" w:name="_Hlk47523273"/>
      <w:r w:rsidRPr="00CB0316">
        <w:rPr>
          <w:rFonts w:ascii="Times New Roman" w:hAnsi="Times New Roman" w:cs="Times New Roman"/>
          <w:bCs/>
          <w:sz w:val="20"/>
          <w:szCs w:val="20"/>
        </w:rPr>
        <w:tab/>
      </w:r>
      <w:r w:rsidRPr="00CB0316">
        <w:rPr>
          <w:rFonts w:ascii="Times New Roman" w:hAnsi="Times New Roman" w:cs="Times New Roman"/>
          <w:sz w:val="20"/>
          <w:szCs w:val="20"/>
        </w:rPr>
        <w:t>Supplement No. 4 dated 16 August 2023 to the Registration Document dated 19 April 2023 of JPMorgan Chase &amp; Co. ("</w:t>
      </w:r>
      <w:r w:rsidRPr="00CB0316">
        <w:rPr>
          <w:rFonts w:ascii="Times New Roman" w:hAnsi="Times New Roman" w:cs="Times New Roman"/>
          <w:b/>
          <w:sz w:val="20"/>
          <w:szCs w:val="20"/>
        </w:rPr>
        <w:t xml:space="preserve">Supplement No. </w:t>
      </w:r>
      <w:r w:rsidR="00871DE2" w:rsidRPr="00CB0316">
        <w:rPr>
          <w:rFonts w:ascii="Times New Roman" w:hAnsi="Times New Roman" w:cs="Times New Roman"/>
          <w:b/>
          <w:sz w:val="20"/>
          <w:szCs w:val="20"/>
        </w:rPr>
        <w:t>4</w:t>
      </w:r>
      <w:r w:rsidRPr="00CB0316">
        <w:rPr>
          <w:rFonts w:ascii="Times New Roman" w:hAnsi="Times New Roman" w:cs="Times New Roman"/>
          <w:b/>
          <w:sz w:val="20"/>
          <w:szCs w:val="20"/>
        </w:rPr>
        <w:t xml:space="preserve"> to the Registration Document of JPMorgan Chase &amp; Co.</w:t>
      </w:r>
      <w:r w:rsidRPr="00CB0316">
        <w:rPr>
          <w:rFonts w:ascii="Times New Roman" w:hAnsi="Times New Roman" w:cs="Times New Roman"/>
          <w:sz w:val="20"/>
          <w:szCs w:val="20"/>
        </w:rPr>
        <w:t>")</w:t>
      </w:r>
      <w:bookmarkEnd w:id="6"/>
      <w:r w:rsidRPr="00CB0316">
        <w:rPr>
          <w:rFonts w:ascii="Times New Roman" w:hAnsi="Times New Roman" w:cs="Times New Roman"/>
          <w:sz w:val="20"/>
          <w:szCs w:val="20"/>
        </w:rPr>
        <w:t>; and</w:t>
      </w:r>
    </w:p>
    <w:p w14:paraId="316FC677" w14:textId="20EA24FB" w:rsidR="000871B4" w:rsidRPr="00CB0316" w:rsidRDefault="000871B4" w:rsidP="00671ADE">
      <w:pPr>
        <w:pStyle w:val="NormalAshurst"/>
        <w:ind w:left="1276" w:hanging="567"/>
        <w:rPr>
          <w:rFonts w:ascii="Times New Roman" w:hAnsi="Times New Roman" w:cs="Times New Roman"/>
          <w:sz w:val="20"/>
          <w:szCs w:val="20"/>
        </w:rPr>
      </w:pPr>
      <w:r w:rsidRPr="00CB0316">
        <w:rPr>
          <w:rFonts w:ascii="Times New Roman" w:hAnsi="Times New Roman" w:cs="Times New Roman"/>
          <w:bCs/>
          <w:sz w:val="20"/>
          <w:szCs w:val="20"/>
        </w:rPr>
        <w:t>(d)</w:t>
      </w:r>
      <w:r w:rsidRPr="00CB0316">
        <w:rPr>
          <w:rFonts w:ascii="Times New Roman" w:hAnsi="Times New Roman" w:cs="Times New Roman"/>
          <w:b/>
          <w:sz w:val="20"/>
          <w:szCs w:val="20"/>
        </w:rPr>
        <w:tab/>
      </w:r>
      <w:bookmarkStart w:id="7" w:name="_Hlk47523283"/>
      <w:r w:rsidRPr="00CB0316">
        <w:rPr>
          <w:rFonts w:ascii="Times New Roman" w:hAnsi="Times New Roman" w:cs="Times New Roman"/>
          <w:sz w:val="20"/>
          <w:szCs w:val="20"/>
        </w:rPr>
        <w:t>Supplement No. 4 dated 16 August 2023 to the Registration Document dated 19 April 2023 of JPMorgan Chase Bank, N.A. ("</w:t>
      </w:r>
      <w:r w:rsidRPr="00CB0316">
        <w:rPr>
          <w:rFonts w:ascii="Times New Roman" w:hAnsi="Times New Roman" w:cs="Times New Roman"/>
          <w:b/>
          <w:sz w:val="20"/>
          <w:szCs w:val="20"/>
        </w:rPr>
        <w:t xml:space="preserve">Supplement No. </w:t>
      </w:r>
      <w:r w:rsidR="00871DE2" w:rsidRPr="00CB0316">
        <w:rPr>
          <w:rFonts w:ascii="Times New Roman" w:hAnsi="Times New Roman" w:cs="Times New Roman"/>
          <w:b/>
          <w:sz w:val="20"/>
          <w:szCs w:val="20"/>
        </w:rPr>
        <w:t>4</w:t>
      </w:r>
      <w:r w:rsidRPr="00CB0316">
        <w:rPr>
          <w:rFonts w:ascii="Times New Roman" w:hAnsi="Times New Roman" w:cs="Times New Roman"/>
          <w:b/>
          <w:sz w:val="20"/>
          <w:szCs w:val="20"/>
        </w:rPr>
        <w:t xml:space="preserve"> to the Registration Document of JPMorgan Chase Bank, N.A.</w:t>
      </w:r>
      <w:r w:rsidRPr="00CB0316">
        <w:rPr>
          <w:rFonts w:ascii="Times New Roman" w:hAnsi="Times New Roman" w:cs="Times New Roman"/>
          <w:sz w:val="20"/>
          <w:szCs w:val="20"/>
        </w:rPr>
        <w:t>")</w:t>
      </w:r>
      <w:bookmarkEnd w:id="7"/>
      <w:r w:rsidRPr="00CB0316">
        <w:rPr>
          <w:rFonts w:ascii="Times New Roman" w:hAnsi="Times New Roman" w:cs="Times New Roman"/>
          <w:sz w:val="20"/>
          <w:szCs w:val="20"/>
        </w:rPr>
        <w:t>.</w:t>
      </w:r>
    </w:p>
    <w:tbl>
      <w:tblPr>
        <w:tblW w:w="8613" w:type="dxa"/>
        <w:tblInd w:w="709" w:type="dxa"/>
        <w:tblLook w:val="01E0" w:firstRow="1" w:lastRow="1" w:firstColumn="1" w:lastColumn="1" w:noHBand="0" w:noVBand="0"/>
      </w:tblPr>
      <w:tblGrid>
        <w:gridCol w:w="959"/>
        <w:gridCol w:w="5987"/>
        <w:gridCol w:w="1667"/>
      </w:tblGrid>
      <w:tr w:rsidR="00125818" w:rsidRPr="00CB0316" w14:paraId="15E31B93" w14:textId="77777777" w:rsidTr="00671ADE">
        <w:tc>
          <w:tcPr>
            <w:tcW w:w="6946" w:type="dxa"/>
            <w:gridSpan w:val="2"/>
          </w:tcPr>
          <w:p w14:paraId="281D974D" w14:textId="77777777" w:rsidR="000871B4" w:rsidRPr="00CB0316" w:rsidRDefault="000871B4" w:rsidP="0009512E">
            <w:pPr>
              <w:suppressAutoHyphens/>
              <w:spacing w:line="288" w:lineRule="auto"/>
              <w:rPr>
                <w:rFonts w:ascii="Times New Roman" w:hAnsi="Times New Roman"/>
                <w:b/>
                <w:sz w:val="20"/>
                <w:szCs w:val="20"/>
              </w:rPr>
            </w:pPr>
            <w:r w:rsidRPr="00CB0316">
              <w:rPr>
                <w:rFonts w:ascii="Times New Roman" w:hAnsi="Times New Roman"/>
                <w:b/>
                <w:sz w:val="20"/>
                <w:szCs w:val="20"/>
              </w:rPr>
              <w:t>Information incorporated by reference</w:t>
            </w:r>
          </w:p>
        </w:tc>
        <w:tc>
          <w:tcPr>
            <w:tcW w:w="1667" w:type="dxa"/>
            <w:hideMark/>
          </w:tcPr>
          <w:p w14:paraId="1242372C" w14:textId="77777777" w:rsidR="000871B4" w:rsidRPr="00CB0316" w:rsidRDefault="000871B4" w:rsidP="0009512E">
            <w:pPr>
              <w:suppressAutoHyphens/>
              <w:spacing w:line="288" w:lineRule="auto"/>
              <w:jc w:val="right"/>
              <w:rPr>
                <w:rFonts w:ascii="Times New Roman" w:hAnsi="Times New Roman"/>
                <w:b/>
                <w:sz w:val="20"/>
                <w:szCs w:val="20"/>
              </w:rPr>
            </w:pPr>
            <w:r w:rsidRPr="00CB0316">
              <w:rPr>
                <w:rFonts w:ascii="Times New Roman" w:hAnsi="Times New Roman"/>
                <w:b/>
                <w:sz w:val="20"/>
                <w:szCs w:val="20"/>
              </w:rPr>
              <w:t>Page Number</w:t>
            </w:r>
          </w:p>
        </w:tc>
      </w:tr>
      <w:tr w:rsidR="00125818" w:rsidRPr="00CB0316" w14:paraId="6788BE07" w14:textId="77777777" w:rsidTr="00671ADE">
        <w:tc>
          <w:tcPr>
            <w:tcW w:w="6946" w:type="dxa"/>
            <w:gridSpan w:val="2"/>
          </w:tcPr>
          <w:p w14:paraId="2ED3AB2A" w14:textId="77777777" w:rsidR="00871DE2" w:rsidRPr="00CB0316" w:rsidRDefault="00871DE2" w:rsidP="0009512E">
            <w:pPr>
              <w:suppressAutoHyphens/>
              <w:spacing w:line="288" w:lineRule="auto"/>
              <w:rPr>
                <w:rFonts w:ascii="Times New Roman" w:hAnsi="Times New Roman"/>
                <w:b/>
                <w:sz w:val="20"/>
                <w:szCs w:val="20"/>
              </w:rPr>
            </w:pPr>
          </w:p>
        </w:tc>
        <w:tc>
          <w:tcPr>
            <w:tcW w:w="1667" w:type="dxa"/>
          </w:tcPr>
          <w:p w14:paraId="095A47FF" w14:textId="77777777" w:rsidR="00871DE2" w:rsidRPr="00CB0316" w:rsidRDefault="00871DE2" w:rsidP="0009512E">
            <w:pPr>
              <w:suppressAutoHyphens/>
              <w:spacing w:line="288" w:lineRule="auto"/>
              <w:jc w:val="right"/>
              <w:rPr>
                <w:rFonts w:ascii="Times New Roman" w:hAnsi="Times New Roman"/>
                <w:b/>
                <w:sz w:val="20"/>
                <w:szCs w:val="20"/>
              </w:rPr>
            </w:pPr>
          </w:p>
        </w:tc>
      </w:tr>
      <w:tr w:rsidR="00125818" w:rsidRPr="00CB0316" w14:paraId="28CA57C5" w14:textId="77777777" w:rsidTr="00671ADE">
        <w:tc>
          <w:tcPr>
            <w:tcW w:w="6946" w:type="dxa"/>
            <w:gridSpan w:val="2"/>
            <w:hideMark/>
          </w:tcPr>
          <w:p w14:paraId="11593D58" w14:textId="77777777" w:rsidR="000871B4" w:rsidRPr="00CB0316" w:rsidRDefault="000871B4" w:rsidP="0009512E">
            <w:pPr>
              <w:pStyle w:val="NormalAshurst"/>
              <w:spacing w:after="0" w:line="288" w:lineRule="auto"/>
              <w:rPr>
                <w:rFonts w:ascii="Times New Roman" w:hAnsi="Times New Roman" w:cs="Times New Roman"/>
                <w:b/>
                <w:i/>
                <w:sz w:val="20"/>
                <w:szCs w:val="20"/>
              </w:rPr>
            </w:pPr>
            <w:r w:rsidRPr="00CB0316">
              <w:rPr>
                <w:rFonts w:ascii="Times New Roman" w:hAnsi="Times New Roman" w:cs="Times New Roman"/>
                <w:b/>
                <w:i/>
                <w:sz w:val="20"/>
                <w:szCs w:val="20"/>
              </w:rPr>
              <w:t>From the JPMorgan Chase &amp; Co. 30 June 2023 Form 10-Q</w:t>
            </w:r>
          </w:p>
        </w:tc>
        <w:tc>
          <w:tcPr>
            <w:tcW w:w="1667" w:type="dxa"/>
          </w:tcPr>
          <w:p w14:paraId="279300FB" w14:textId="77777777" w:rsidR="000871B4" w:rsidRPr="00CB0316" w:rsidRDefault="000871B4" w:rsidP="0009512E">
            <w:pPr>
              <w:pStyle w:val="NormalAshurst"/>
              <w:spacing w:after="0" w:line="288" w:lineRule="auto"/>
              <w:rPr>
                <w:rFonts w:ascii="Times New Roman" w:hAnsi="Times New Roman" w:cs="Times New Roman"/>
                <w:b/>
                <w:sz w:val="20"/>
                <w:szCs w:val="20"/>
              </w:rPr>
            </w:pPr>
          </w:p>
        </w:tc>
      </w:tr>
      <w:tr w:rsidR="00125818" w:rsidRPr="00CB0316" w14:paraId="3506F0CA" w14:textId="77777777" w:rsidTr="00671ADE">
        <w:tc>
          <w:tcPr>
            <w:tcW w:w="6946" w:type="dxa"/>
            <w:gridSpan w:val="2"/>
            <w:hideMark/>
          </w:tcPr>
          <w:p w14:paraId="1372331D" w14:textId="77777777" w:rsidR="000871B4" w:rsidRPr="00CB0316" w:rsidRDefault="000871B4" w:rsidP="0009512E">
            <w:pPr>
              <w:pStyle w:val="NormalAshurst"/>
              <w:spacing w:after="0" w:line="288" w:lineRule="auto"/>
              <w:rPr>
                <w:rFonts w:ascii="Times New Roman" w:hAnsi="Times New Roman" w:cs="Times New Roman"/>
                <w:sz w:val="20"/>
                <w:szCs w:val="20"/>
              </w:rPr>
            </w:pPr>
            <w:r w:rsidRPr="00CB0316">
              <w:rPr>
                <w:rFonts w:ascii="Times New Roman" w:hAnsi="Times New Roman" w:cs="Times New Roman"/>
                <w:sz w:val="20"/>
                <w:szCs w:val="20"/>
              </w:rPr>
              <w:t>Part I - Financial Information</w:t>
            </w:r>
          </w:p>
        </w:tc>
        <w:tc>
          <w:tcPr>
            <w:tcW w:w="1667" w:type="dxa"/>
          </w:tcPr>
          <w:p w14:paraId="1F1F9ACE" w14:textId="77777777" w:rsidR="000871B4" w:rsidRPr="00CB0316" w:rsidRDefault="000871B4" w:rsidP="0009512E">
            <w:pPr>
              <w:pStyle w:val="NormalAshurst"/>
              <w:spacing w:after="0" w:line="288" w:lineRule="auto"/>
              <w:rPr>
                <w:rFonts w:ascii="Times New Roman" w:hAnsi="Times New Roman" w:cs="Times New Roman"/>
                <w:sz w:val="20"/>
                <w:szCs w:val="20"/>
              </w:rPr>
            </w:pPr>
          </w:p>
        </w:tc>
      </w:tr>
      <w:tr w:rsidR="00125818" w:rsidRPr="00CB0316" w14:paraId="7C8C672D" w14:textId="77777777" w:rsidTr="00671ADE">
        <w:tc>
          <w:tcPr>
            <w:tcW w:w="959" w:type="dxa"/>
            <w:hideMark/>
          </w:tcPr>
          <w:p w14:paraId="200035DC" w14:textId="77777777" w:rsidR="000871B4" w:rsidRPr="00CB0316" w:rsidRDefault="000871B4" w:rsidP="0009512E">
            <w:pPr>
              <w:pStyle w:val="NormalAshurst"/>
              <w:spacing w:after="0" w:line="288" w:lineRule="auto"/>
              <w:rPr>
                <w:rFonts w:ascii="Times New Roman" w:hAnsi="Times New Roman" w:cs="Times New Roman"/>
                <w:sz w:val="20"/>
                <w:szCs w:val="20"/>
              </w:rPr>
            </w:pPr>
            <w:r w:rsidRPr="00CB0316">
              <w:rPr>
                <w:rFonts w:ascii="Times New Roman" w:hAnsi="Times New Roman" w:cs="Times New Roman"/>
                <w:sz w:val="20"/>
                <w:szCs w:val="20"/>
              </w:rPr>
              <w:t>Item 1.</w:t>
            </w:r>
          </w:p>
        </w:tc>
        <w:tc>
          <w:tcPr>
            <w:tcW w:w="5987" w:type="dxa"/>
          </w:tcPr>
          <w:p w14:paraId="431F07BF" w14:textId="77777777" w:rsidR="000871B4" w:rsidRPr="00CB0316" w:rsidRDefault="000871B4" w:rsidP="0009512E">
            <w:pPr>
              <w:pStyle w:val="NormalAshurst"/>
              <w:spacing w:after="0" w:line="288" w:lineRule="auto"/>
              <w:rPr>
                <w:rFonts w:ascii="Times New Roman" w:hAnsi="Times New Roman" w:cs="Times New Roman"/>
                <w:sz w:val="20"/>
                <w:szCs w:val="20"/>
              </w:rPr>
            </w:pPr>
            <w:r w:rsidRPr="00CB0316">
              <w:rPr>
                <w:rFonts w:ascii="Times New Roman" w:hAnsi="Times New Roman" w:cs="Times New Roman"/>
                <w:sz w:val="20"/>
                <w:szCs w:val="20"/>
              </w:rPr>
              <w:t>Financial Statements.</w:t>
            </w:r>
          </w:p>
        </w:tc>
        <w:tc>
          <w:tcPr>
            <w:tcW w:w="1667" w:type="dxa"/>
          </w:tcPr>
          <w:p w14:paraId="18790786" w14:textId="77777777" w:rsidR="000871B4" w:rsidRPr="00CB0316" w:rsidRDefault="000871B4" w:rsidP="0009512E">
            <w:pPr>
              <w:rPr>
                <w:rFonts w:ascii="Times New Roman" w:hAnsi="Times New Roman"/>
                <w:sz w:val="20"/>
                <w:szCs w:val="20"/>
              </w:rPr>
            </w:pPr>
          </w:p>
        </w:tc>
      </w:tr>
      <w:tr w:rsidR="00125818" w:rsidRPr="00CB0316" w14:paraId="269D5C2B" w14:textId="77777777" w:rsidTr="00671ADE">
        <w:tc>
          <w:tcPr>
            <w:tcW w:w="959" w:type="dxa"/>
          </w:tcPr>
          <w:p w14:paraId="2257E39B" w14:textId="77777777" w:rsidR="000871B4" w:rsidRPr="00CB0316" w:rsidRDefault="000871B4" w:rsidP="0009512E">
            <w:pPr>
              <w:pStyle w:val="NormalAshurst"/>
              <w:spacing w:after="0" w:line="288" w:lineRule="auto"/>
              <w:rPr>
                <w:rFonts w:ascii="Times New Roman" w:hAnsi="Times New Roman" w:cs="Times New Roman"/>
                <w:sz w:val="20"/>
                <w:szCs w:val="20"/>
              </w:rPr>
            </w:pPr>
          </w:p>
        </w:tc>
        <w:tc>
          <w:tcPr>
            <w:tcW w:w="5987" w:type="dxa"/>
          </w:tcPr>
          <w:p w14:paraId="20C369BB" w14:textId="77777777" w:rsidR="000871B4" w:rsidRPr="00CB0316" w:rsidRDefault="000871B4" w:rsidP="0009512E">
            <w:pPr>
              <w:pStyle w:val="NormalAshurst"/>
              <w:spacing w:after="0" w:line="288" w:lineRule="auto"/>
              <w:ind w:left="284"/>
              <w:rPr>
                <w:rFonts w:ascii="Times New Roman" w:hAnsi="Times New Roman" w:cs="Times New Roman"/>
                <w:sz w:val="20"/>
                <w:szCs w:val="20"/>
              </w:rPr>
            </w:pPr>
            <w:r w:rsidRPr="00CB0316">
              <w:rPr>
                <w:rFonts w:ascii="Times New Roman" w:hAnsi="Times New Roman" w:cs="Times New Roman"/>
                <w:sz w:val="20"/>
                <w:szCs w:val="20"/>
              </w:rPr>
              <w:t>Consolidated Financial Statements – JPMorgan Chase &amp; Co.:</w:t>
            </w:r>
          </w:p>
        </w:tc>
        <w:tc>
          <w:tcPr>
            <w:tcW w:w="1667" w:type="dxa"/>
          </w:tcPr>
          <w:p w14:paraId="03BBFC29" w14:textId="77777777" w:rsidR="000871B4" w:rsidRPr="00CB0316" w:rsidRDefault="000871B4" w:rsidP="0009512E">
            <w:pPr>
              <w:rPr>
                <w:rFonts w:ascii="Times New Roman" w:hAnsi="Times New Roman"/>
                <w:sz w:val="20"/>
                <w:szCs w:val="20"/>
              </w:rPr>
            </w:pPr>
          </w:p>
        </w:tc>
      </w:tr>
      <w:tr w:rsidR="00125818" w:rsidRPr="00CB0316" w14:paraId="1718A275" w14:textId="77777777" w:rsidTr="00671ADE">
        <w:tc>
          <w:tcPr>
            <w:tcW w:w="959" w:type="dxa"/>
            <w:hideMark/>
          </w:tcPr>
          <w:p w14:paraId="7812E8E8" w14:textId="77777777" w:rsidR="000871B4" w:rsidRPr="00CB0316" w:rsidRDefault="000871B4" w:rsidP="0009512E">
            <w:pPr>
              <w:spacing w:line="240" w:lineRule="auto"/>
              <w:jc w:val="left"/>
              <w:rPr>
                <w:rFonts w:ascii="Times New Roman" w:hAnsi="Times New Roman"/>
                <w:sz w:val="20"/>
                <w:szCs w:val="20"/>
              </w:rPr>
            </w:pPr>
          </w:p>
        </w:tc>
        <w:tc>
          <w:tcPr>
            <w:tcW w:w="5987" w:type="dxa"/>
            <w:hideMark/>
          </w:tcPr>
          <w:p w14:paraId="087DFC27" w14:textId="77777777" w:rsidR="000871B4" w:rsidRPr="00CB0316" w:rsidRDefault="000871B4" w:rsidP="0009512E">
            <w:pPr>
              <w:pStyle w:val="NormalAshurst"/>
              <w:spacing w:after="0" w:line="288" w:lineRule="auto"/>
              <w:ind w:left="568"/>
              <w:rPr>
                <w:rFonts w:ascii="Times New Roman" w:hAnsi="Times New Roman" w:cs="Times New Roman"/>
                <w:sz w:val="20"/>
                <w:szCs w:val="20"/>
              </w:rPr>
            </w:pPr>
            <w:r w:rsidRPr="00CB0316">
              <w:rPr>
                <w:rFonts w:ascii="Times New Roman" w:hAnsi="Times New Roman" w:cs="Times New Roman"/>
                <w:sz w:val="20"/>
                <w:szCs w:val="20"/>
              </w:rPr>
              <w:t>Consolidated statements of income (unaudited) for the three and six months ended June 30, 2023 and 2022</w:t>
            </w:r>
          </w:p>
        </w:tc>
        <w:tc>
          <w:tcPr>
            <w:tcW w:w="1667" w:type="dxa"/>
            <w:hideMark/>
          </w:tcPr>
          <w:p w14:paraId="643F1EFC" w14:textId="77777777" w:rsidR="000871B4" w:rsidRPr="00CB0316" w:rsidRDefault="000871B4" w:rsidP="0009512E">
            <w:pPr>
              <w:suppressAutoHyphens/>
              <w:spacing w:line="288" w:lineRule="auto"/>
              <w:jc w:val="right"/>
              <w:rPr>
                <w:rFonts w:ascii="Times New Roman" w:hAnsi="Times New Roman"/>
                <w:sz w:val="20"/>
                <w:szCs w:val="20"/>
              </w:rPr>
            </w:pPr>
            <w:r w:rsidRPr="00CB0316">
              <w:rPr>
                <w:rFonts w:ascii="Times New Roman" w:hAnsi="Times New Roman"/>
                <w:sz w:val="20"/>
                <w:szCs w:val="20"/>
              </w:rPr>
              <w:t>Page 96</w:t>
            </w:r>
          </w:p>
        </w:tc>
      </w:tr>
      <w:tr w:rsidR="00125818" w:rsidRPr="00CB0316" w14:paraId="3013C8D2" w14:textId="77777777" w:rsidTr="00671ADE">
        <w:tc>
          <w:tcPr>
            <w:tcW w:w="959" w:type="dxa"/>
            <w:hideMark/>
          </w:tcPr>
          <w:p w14:paraId="33E277B6" w14:textId="77777777" w:rsidR="000871B4" w:rsidRPr="00CB0316" w:rsidRDefault="000871B4" w:rsidP="0009512E">
            <w:pPr>
              <w:rPr>
                <w:rFonts w:ascii="Times New Roman" w:hAnsi="Times New Roman"/>
                <w:sz w:val="20"/>
                <w:szCs w:val="20"/>
              </w:rPr>
            </w:pPr>
          </w:p>
        </w:tc>
        <w:tc>
          <w:tcPr>
            <w:tcW w:w="5987" w:type="dxa"/>
            <w:hideMark/>
          </w:tcPr>
          <w:p w14:paraId="12174DB2" w14:textId="77777777" w:rsidR="000871B4" w:rsidRPr="00CB0316" w:rsidRDefault="000871B4" w:rsidP="0009512E">
            <w:pPr>
              <w:pStyle w:val="NormalAshurst"/>
              <w:spacing w:after="0" w:line="288" w:lineRule="auto"/>
              <w:ind w:left="568"/>
              <w:rPr>
                <w:rFonts w:ascii="Times New Roman" w:hAnsi="Times New Roman" w:cs="Times New Roman"/>
                <w:sz w:val="20"/>
                <w:szCs w:val="20"/>
              </w:rPr>
            </w:pPr>
            <w:r w:rsidRPr="00CB0316">
              <w:rPr>
                <w:rFonts w:ascii="Times New Roman" w:hAnsi="Times New Roman" w:cs="Times New Roman"/>
                <w:sz w:val="20"/>
                <w:szCs w:val="20"/>
              </w:rPr>
              <w:t>Consolidated statements of comprehensive income (unaudited) for the three and six months ended June 30, 2023 and 2022</w:t>
            </w:r>
          </w:p>
        </w:tc>
        <w:tc>
          <w:tcPr>
            <w:tcW w:w="1667" w:type="dxa"/>
            <w:hideMark/>
          </w:tcPr>
          <w:p w14:paraId="230C7192" w14:textId="77777777" w:rsidR="000871B4" w:rsidRPr="00CB0316" w:rsidRDefault="000871B4" w:rsidP="0009512E">
            <w:pPr>
              <w:suppressAutoHyphens/>
              <w:spacing w:line="288" w:lineRule="auto"/>
              <w:jc w:val="right"/>
              <w:rPr>
                <w:rFonts w:ascii="Times New Roman" w:hAnsi="Times New Roman"/>
                <w:sz w:val="20"/>
                <w:szCs w:val="20"/>
              </w:rPr>
            </w:pPr>
            <w:r w:rsidRPr="00CB0316">
              <w:rPr>
                <w:rFonts w:ascii="Times New Roman" w:hAnsi="Times New Roman"/>
                <w:sz w:val="20"/>
                <w:szCs w:val="20"/>
              </w:rPr>
              <w:t>Page 97</w:t>
            </w:r>
          </w:p>
        </w:tc>
      </w:tr>
      <w:tr w:rsidR="00125818" w:rsidRPr="00CB0316" w14:paraId="71A63527" w14:textId="77777777" w:rsidTr="00671ADE">
        <w:tc>
          <w:tcPr>
            <w:tcW w:w="959" w:type="dxa"/>
            <w:hideMark/>
          </w:tcPr>
          <w:p w14:paraId="1BDCF680" w14:textId="77777777" w:rsidR="000871B4" w:rsidRPr="00CB0316" w:rsidRDefault="000871B4" w:rsidP="0009512E">
            <w:pPr>
              <w:rPr>
                <w:rFonts w:ascii="Times New Roman" w:hAnsi="Times New Roman"/>
                <w:sz w:val="20"/>
                <w:szCs w:val="20"/>
              </w:rPr>
            </w:pPr>
          </w:p>
        </w:tc>
        <w:tc>
          <w:tcPr>
            <w:tcW w:w="5987" w:type="dxa"/>
            <w:hideMark/>
          </w:tcPr>
          <w:p w14:paraId="06E93B69" w14:textId="77777777" w:rsidR="000871B4" w:rsidRPr="00CB0316" w:rsidRDefault="000871B4" w:rsidP="0009512E">
            <w:pPr>
              <w:pStyle w:val="NormalAshurst"/>
              <w:spacing w:after="0" w:line="288" w:lineRule="auto"/>
              <w:ind w:left="568"/>
              <w:rPr>
                <w:rFonts w:ascii="Times New Roman" w:hAnsi="Times New Roman" w:cs="Times New Roman"/>
                <w:sz w:val="20"/>
                <w:szCs w:val="20"/>
              </w:rPr>
            </w:pPr>
            <w:r w:rsidRPr="00CB0316">
              <w:rPr>
                <w:rFonts w:ascii="Times New Roman" w:hAnsi="Times New Roman" w:cs="Times New Roman"/>
                <w:sz w:val="20"/>
                <w:szCs w:val="20"/>
              </w:rPr>
              <w:t>Consolidated balance sheets (unaudited) at June 30, 2023 and December 31, 2022</w:t>
            </w:r>
          </w:p>
        </w:tc>
        <w:tc>
          <w:tcPr>
            <w:tcW w:w="1667" w:type="dxa"/>
            <w:hideMark/>
          </w:tcPr>
          <w:p w14:paraId="3C98D362" w14:textId="77777777" w:rsidR="000871B4" w:rsidRPr="00CB0316" w:rsidRDefault="000871B4" w:rsidP="0009512E">
            <w:pPr>
              <w:suppressAutoHyphens/>
              <w:spacing w:line="288" w:lineRule="auto"/>
              <w:jc w:val="right"/>
              <w:rPr>
                <w:rFonts w:ascii="Times New Roman" w:hAnsi="Times New Roman"/>
                <w:sz w:val="20"/>
                <w:szCs w:val="20"/>
              </w:rPr>
            </w:pPr>
            <w:r w:rsidRPr="00CB0316">
              <w:rPr>
                <w:rFonts w:ascii="Times New Roman" w:hAnsi="Times New Roman"/>
                <w:sz w:val="20"/>
                <w:szCs w:val="20"/>
              </w:rPr>
              <w:t>Page 98</w:t>
            </w:r>
          </w:p>
        </w:tc>
      </w:tr>
      <w:tr w:rsidR="00125818" w:rsidRPr="00CB0316" w14:paraId="6127E949" w14:textId="77777777" w:rsidTr="00671ADE">
        <w:tc>
          <w:tcPr>
            <w:tcW w:w="959" w:type="dxa"/>
            <w:hideMark/>
          </w:tcPr>
          <w:p w14:paraId="5C95AF1D" w14:textId="77777777" w:rsidR="000871B4" w:rsidRPr="00CB0316" w:rsidRDefault="000871B4" w:rsidP="0009512E">
            <w:pPr>
              <w:rPr>
                <w:rFonts w:ascii="Times New Roman" w:hAnsi="Times New Roman"/>
                <w:sz w:val="20"/>
                <w:szCs w:val="20"/>
              </w:rPr>
            </w:pPr>
          </w:p>
        </w:tc>
        <w:tc>
          <w:tcPr>
            <w:tcW w:w="5987" w:type="dxa"/>
            <w:hideMark/>
          </w:tcPr>
          <w:p w14:paraId="756BCE4A" w14:textId="77777777" w:rsidR="000871B4" w:rsidRPr="00CB0316" w:rsidRDefault="000871B4" w:rsidP="0009512E">
            <w:pPr>
              <w:pStyle w:val="NormalAshurst"/>
              <w:spacing w:after="0" w:line="288" w:lineRule="auto"/>
              <w:ind w:left="568"/>
              <w:rPr>
                <w:rFonts w:ascii="Times New Roman" w:hAnsi="Times New Roman" w:cs="Times New Roman"/>
                <w:sz w:val="20"/>
                <w:szCs w:val="20"/>
              </w:rPr>
            </w:pPr>
            <w:r w:rsidRPr="00CB0316">
              <w:rPr>
                <w:rFonts w:ascii="Times New Roman" w:hAnsi="Times New Roman" w:cs="Times New Roman"/>
                <w:sz w:val="20"/>
                <w:szCs w:val="20"/>
              </w:rPr>
              <w:t>Consolidated statements of changes in stockholders' equity (unaudited) for the three and six months ended June 30, 2023 and 2022</w:t>
            </w:r>
          </w:p>
        </w:tc>
        <w:tc>
          <w:tcPr>
            <w:tcW w:w="1667" w:type="dxa"/>
            <w:hideMark/>
          </w:tcPr>
          <w:p w14:paraId="43D5D628" w14:textId="77777777" w:rsidR="000871B4" w:rsidRPr="00CB0316" w:rsidRDefault="000871B4" w:rsidP="0009512E">
            <w:pPr>
              <w:suppressAutoHyphens/>
              <w:spacing w:line="288" w:lineRule="auto"/>
              <w:jc w:val="right"/>
              <w:rPr>
                <w:rFonts w:ascii="Times New Roman" w:hAnsi="Times New Roman"/>
                <w:sz w:val="20"/>
                <w:szCs w:val="20"/>
              </w:rPr>
            </w:pPr>
            <w:r w:rsidRPr="00CB0316">
              <w:rPr>
                <w:rFonts w:ascii="Times New Roman" w:hAnsi="Times New Roman"/>
                <w:sz w:val="20"/>
                <w:szCs w:val="20"/>
              </w:rPr>
              <w:t>Page 99</w:t>
            </w:r>
          </w:p>
        </w:tc>
      </w:tr>
      <w:tr w:rsidR="00125818" w:rsidRPr="00CB0316" w14:paraId="5853D495" w14:textId="77777777" w:rsidTr="00671ADE">
        <w:tc>
          <w:tcPr>
            <w:tcW w:w="959" w:type="dxa"/>
            <w:hideMark/>
          </w:tcPr>
          <w:p w14:paraId="0A173E7B" w14:textId="77777777" w:rsidR="000871B4" w:rsidRPr="00CB0316" w:rsidRDefault="000871B4" w:rsidP="0009512E">
            <w:pPr>
              <w:rPr>
                <w:rFonts w:ascii="Times New Roman" w:hAnsi="Times New Roman"/>
                <w:sz w:val="20"/>
                <w:szCs w:val="20"/>
              </w:rPr>
            </w:pPr>
          </w:p>
        </w:tc>
        <w:tc>
          <w:tcPr>
            <w:tcW w:w="5987" w:type="dxa"/>
            <w:hideMark/>
          </w:tcPr>
          <w:p w14:paraId="38C498E0" w14:textId="77777777" w:rsidR="000871B4" w:rsidRPr="00CB0316" w:rsidRDefault="000871B4" w:rsidP="0009512E">
            <w:pPr>
              <w:pStyle w:val="NormalAshurst"/>
              <w:spacing w:after="0" w:line="288" w:lineRule="auto"/>
              <w:ind w:left="568"/>
              <w:rPr>
                <w:rFonts w:ascii="Times New Roman" w:hAnsi="Times New Roman" w:cs="Times New Roman"/>
                <w:sz w:val="20"/>
                <w:szCs w:val="20"/>
              </w:rPr>
            </w:pPr>
            <w:r w:rsidRPr="00CB0316">
              <w:rPr>
                <w:rFonts w:ascii="Times New Roman" w:hAnsi="Times New Roman" w:cs="Times New Roman"/>
                <w:sz w:val="20"/>
                <w:szCs w:val="20"/>
              </w:rPr>
              <w:t>Consolidated statements of cash flows (unaudited) for the six months ended June 30, 2023 and 2022</w:t>
            </w:r>
          </w:p>
        </w:tc>
        <w:tc>
          <w:tcPr>
            <w:tcW w:w="1667" w:type="dxa"/>
            <w:hideMark/>
          </w:tcPr>
          <w:p w14:paraId="692998F2" w14:textId="77777777" w:rsidR="000871B4" w:rsidRPr="00CB0316" w:rsidRDefault="000871B4" w:rsidP="0009512E">
            <w:pPr>
              <w:suppressAutoHyphens/>
              <w:spacing w:line="288" w:lineRule="auto"/>
              <w:jc w:val="right"/>
              <w:rPr>
                <w:rFonts w:ascii="Times New Roman" w:hAnsi="Times New Roman"/>
                <w:sz w:val="20"/>
                <w:szCs w:val="20"/>
              </w:rPr>
            </w:pPr>
            <w:r w:rsidRPr="00CB0316">
              <w:rPr>
                <w:rFonts w:ascii="Times New Roman" w:hAnsi="Times New Roman"/>
                <w:sz w:val="20"/>
                <w:szCs w:val="20"/>
              </w:rPr>
              <w:t>Page 100</w:t>
            </w:r>
          </w:p>
        </w:tc>
      </w:tr>
      <w:tr w:rsidR="00125818" w:rsidRPr="00CB0316" w14:paraId="60D6E877" w14:textId="77777777" w:rsidTr="00671ADE">
        <w:tc>
          <w:tcPr>
            <w:tcW w:w="959" w:type="dxa"/>
          </w:tcPr>
          <w:p w14:paraId="7A5FA309" w14:textId="77777777" w:rsidR="000871B4" w:rsidRPr="00CB0316" w:rsidRDefault="000871B4" w:rsidP="0009512E">
            <w:pPr>
              <w:pStyle w:val="NormalAshurst"/>
              <w:spacing w:after="0" w:line="288" w:lineRule="auto"/>
              <w:rPr>
                <w:rFonts w:ascii="Times New Roman" w:hAnsi="Times New Roman" w:cs="Times New Roman"/>
                <w:sz w:val="20"/>
                <w:szCs w:val="20"/>
              </w:rPr>
            </w:pPr>
          </w:p>
        </w:tc>
        <w:tc>
          <w:tcPr>
            <w:tcW w:w="5987" w:type="dxa"/>
            <w:hideMark/>
          </w:tcPr>
          <w:p w14:paraId="41FE77E5" w14:textId="77777777" w:rsidR="000871B4" w:rsidRPr="00CB0316" w:rsidRDefault="000871B4" w:rsidP="0009512E">
            <w:pPr>
              <w:pStyle w:val="NormalAshurst"/>
              <w:spacing w:after="0" w:line="288" w:lineRule="auto"/>
              <w:ind w:left="284"/>
              <w:rPr>
                <w:rFonts w:ascii="Times New Roman" w:hAnsi="Times New Roman" w:cs="Times New Roman"/>
                <w:sz w:val="20"/>
                <w:szCs w:val="20"/>
              </w:rPr>
            </w:pPr>
            <w:r w:rsidRPr="00CB0316">
              <w:rPr>
                <w:rFonts w:ascii="Times New Roman" w:hAnsi="Times New Roman" w:cs="Times New Roman"/>
                <w:sz w:val="20"/>
                <w:szCs w:val="20"/>
              </w:rPr>
              <w:t>Notes to Consolidated Financial Statements (unaudited)</w:t>
            </w:r>
          </w:p>
        </w:tc>
        <w:tc>
          <w:tcPr>
            <w:tcW w:w="1667" w:type="dxa"/>
            <w:hideMark/>
          </w:tcPr>
          <w:p w14:paraId="5A4A6E1F" w14:textId="77777777" w:rsidR="000871B4" w:rsidRPr="00CB0316" w:rsidRDefault="000871B4" w:rsidP="0009512E">
            <w:pPr>
              <w:suppressAutoHyphens/>
              <w:spacing w:line="288" w:lineRule="auto"/>
              <w:jc w:val="right"/>
              <w:rPr>
                <w:rFonts w:ascii="Times New Roman" w:hAnsi="Times New Roman"/>
                <w:sz w:val="20"/>
                <w:szCs w:val="20"/>
              </w:rPr>
            </w:pPr>
            <w:r w:rsidRPr="00CB0316">
              <w:rPr>
                <w:rFonts w:ascii="Times New Roman" w:hAnsi="Times New Roman"/>
                <w:sz w:val="20"/>
                <w:szCs w:val="20"/>
              </w:rPr>
              <w:t>Pages 101 to 196</w:t>
            </w:r>
          </w:p>
        </w:tc>
      </w:tr>
      <w:tr w:rsidR="00125818" w:rsidRPr="00CB0316" w14:paraId="5AAF93AB" w14:textId="77777777" w:rsidTr="00671ADE">
        <w:tc>
          <w:tcPr>
            <w:tcW w:w="959" w:type="dxa"/>
          </w:tcPr>
          <w:p w14:paraId="753F3D58" w14:textId="77777777" w:rsidR="000871B4" w:rsidRPr="00CB0316" w:rsidRDefault="000871B4" w:rsidP="0009512E">
            <w:pPr>
              <w:pStyle w:val="NormalAshurst"/>
              <w:spacing w:after="0" w:line="288" w:lineRule="auto"/>
              <w:rPr>
                <w:rFonts w:ascii="Times New Roman" w:hAnsi="Times New Roman" w:cs="Times New Roman"/>
                <w:sz w:val="20"/>
                <w:szCs w:val="20"/>
              </w:rPr>
            </w:pPr>
          </w:p>
        </w:tc>
        <w:tc>
          <w:tcPr>
            <w:tcW w:w="5987" w:type="dxa"/>
            <w:hideMark/>
          </w:tcPr>
          <w:p w14:paraId="16214FBC" w14:textId="77777777" w:rsidR="000871B4" w:rsidRPr="00CB0316" w:rsidRDefault="000871B4" w:rsidP="0009512E">
            <w:pPr>
              <w:pStyle w:val="NormalAshurst"/>
              <w:spacing w:after="0" w:line="288" w:lineRule="auto"/>
              <w:ind w:left="284"/>
              <w:rPr>
                <w:rFonts w:ascii="Times New Roman" w:hAnsi="Times New Roman" w:cs="Times New Roman"/>
                <w:sz w:val="20"/>
                <w:szCs w:val="20"/>
              </w:rPr>
            </w:pPr>
            <w:r w:rsidRPr="00CB0316">
              <w:rPr>
                <w:rFonts w:ascii="Times New Roman" w:hAnsi="Times New Roman" w:cs="Times New Roman"/>
                <w:sz w:val="20"/>
                <w:szCs w:val="20"/>
              </w:rPr>
              <w:t xml:space="preserve">Report of Independent Registered Public Accounting Firm </w:t>
            </w:r>
          </w:p>
        </w:tc>
        <w:tc>
          <w:tcPr>
            <w:tcW w:w="1667" w:type="dxa"/>
            <w:hideMark/>
          </w:tcPr>
          <w:p w14:paraId="16FC8F07" w14:textId="77777777" w:rsidR="000871B4" w:rsidRPr="00CB0316" w:rsidRDefault="000871B4" w:rsidP="0009512E">
            <w:pPr>
              <w:suppressAutoHyphens/>
              <w:spacing w:line="288" w:lineRule="auto"/>
              <w:jc w:val="right"/>
              <w:rPr>
                <w:rFonts w:ascii="Times New Roman" w:hAnsi="Times New Roman"/>
                <w:sz w:val="20"/>
                <w:szCs w:val="20"/>
              </w:rPr>
            </w:pPr>
            <w:r w:rsidRPr="00CB0316">
              <w:rPr>
                <w:rFonts w:ascii="Times New Roman" w:hAnsi="Times New Roman"/>
                <w:sz w:val="20"/>
                <w:szCs w:val="20"/>
              </w:rPr>
              <w:t>Page 197</w:t>
            </w:r>
          </w:p>
        </w:tc>
      </w:tr>
      <w:tr w:rsidR="00125818" w:rsidRPr="00CB0316" w14:paraId="154E9FE4" w14:textId="77777777" w:rsidTr="00671ADE">
        <w:tc>
          <w:tcPr>
            <w:tcW w:w="959" w:type="dxa"/>
          </w:tcPr>
          <w:p w14:paraId="307949CE" w14:textId="77777777" w:rsidR="000871B4" w:rsidRPr="00CB0316" w:rsidRDefault="000871B4" w:rsidP="0009512E">
            <w:pPr>
              <w:pStyle w:val="NormalAshurst"/>
              <w:spacing w:after="0" w:line="288" w:lineRule="auto"/>
              <w:rPr>
                <w:rFonts w:ascii="Times New Roman" w:hAnsi="Times New Roman" w:cs="Times New Roman"/>
                <w:sz w:val="20"/>
                <w:szCs w:val="20"/>
              </w:rPr>
            </w:pPr>
          </w:p>
        </w:tc>
        <w:tc>
          <w:tcPr>
            <w:tcW w:w="5987" w:type="dxa"/>
            <w:hideMark/>
          </w:tcPr>
          <w:p w14:paraId="38111F68" w14:textId="77777777" w:rsidR="000871B4" w:rsidRPr="00CB0316" w:rsidRDefault="000871B4" w:rsidP="0009512E">
            <w:pPr>
              <w:pStyle w:val="NormalAshurst"/>
              <w:spacing w:after="0" w:line="288" w:lineRule="auto"/>
              <w:ind w:left="284"/>
              <w:rPr>
                <w:rFonts w:ascii="Times New Roman" w:hAnsi="Times New Roman" w:cs="Times New Roman"/>
                <w:sz w:val="20"/>
                <w:szCs w:val="20"/>
              </w:rPr>
            </w:pPr>
            <w:r w:rsidRPr="00CB0316">
              <w:rPr>
                <w:rFonts w:ascii="Times New Roman" w:hAnsi="Times New Roman" w:cs="Times New Roman"/>
                <w:sz w:val="20"/>
                <w:szCs w:val="20"/>
              </w:rPr>
              <w:t>Consolidated Average Balance Sheets, Interest and Rates (unaudited) for the three months ended June 30, 2023 and 2022</w:t>
            </w:r>
          </w:p>
        </w:tc>
        <w:tc>
          <w:tcPr>
            <w:tcW w:w="1667" w:type="dxa"/>
            <w:hideMark/>
          </w:tcPr>
          <w:p w14:paraId="03EE9BC5" w14:textId="77777777" w:rsidR="000871B4" w:rsidRPr="00CB0316" w:rsidRDefault="000871B4" w:rsidP="0009512E">
            <w:pPr>
              <w:suppressAutoHyphens/>
              <w:spacing w:line="288" w:lineRule="auto"/>
              <w:jc w:val="right"/>
              <w:rPr>
                <w:rFonts w:ascii="Times New Roman" w:hAnsi="Times New Roman"/>
                <w:sz w:val="20"/>
                <w:szCs w:val="20"/>
              </w:rPr>
            </w:pPr>
            <w:r w:rsidRPr="00CB0316">
              <w:rPr>
                <w:rFonts w:ascii="Times New Roman" w:hAnsi="Times New Roman"/>
                <w:sz w:val="20"/>
                <w:szCs w:val="20"/>
              </w:rPr>
              <w:t>Pages 198 to 199</w:t>
            </w:r>
          </w:p>
        </w:tc>
      </w:tr>
      <w:tr w:rsidR="00125818" w:rsidRPr="00CB0316" w14:paraId="0C2F5572" w14:textId="77777777" w:rsidTr="00671ADE">
        <w:tc>
          <w:tcPr>
            <w:tcW w:w="959" w:type="dxa"/>
          </w:tcPr>
          <w:p w14:paraId="23DB0610" w14:textId="77777777" w:rsidR="000871B4" w:rsidRPr="00CB0316" w:rsidRDefault="000871B4" w:rsidP="0009512E">
            <w:pPr>
              <w:pStyle w:val="NormalAshurst"/>
              <w:spacing w:after="0" w:line="288" w:lineRule="auto"/>
              <w:rPr>
                <w:rFonts w:ascii="Times New Roman" w:hAnsi="Times New Roman" w:cs="Times New Roman"/>
                <w:sz w:val="20"/>
                <w:szCs w:val="20"/>
              </w:rPr>
            </w:pPr>
          </w:p>
        </w:tc>
        <w:tc>
          <w:tcPr>
            <w:tcW w:w="5987" w:type="dxa"/>
            <w:hideMark/>
          </w:tcPr>
          <w:p w14:paraId="248462DD" w14:textId="77777777" w:rsidR="000871B4" w:rsidRPr="00CB0316" w:rsidRDefault="000871B4" w:rsidP="0009512E">
            <w:pPr>
              <w:pStyle w:val="NormalAshurst"/>
              <w:spacing w:after="0" w:line="288" w:lineRule="auto"/>
              <w:ind w:left="284"/>
              <w:rPr>
                <w:rFonts w:ascii="Times New Roman" w:hAnsi="Times New Roman" w:cs="Times New Roman"/>
                <w:sz w:val="20"/>
                <w:szCs w:val="20"/>
              </w:rPr>
            </w:pPr>
            <w:r w:rsidRPr="00CB0316">
              <w:rPr>
                <w:rFonts w:ascii="Times New Roman" w:hAnsi="Times New Roman" w:cs="Times New Roman"/>
                <w:sz w:val="20"/>
                <w:szCs w:val="20"/>
              </w:rPr>
              <w:t xml:space="preserve">Glossary of Terms and Acronyms and Line of Business Metrics </w:t>
            </w:r>
          </w:p>
        </w:tc>
        <w:tc>
          <w:tcPr>
            <w:tcW w:w="1667" w:type="dxa"/>
            <w:hideMark/>
          </w:tcPr>
          <w:p w14:paraId="05D183F7" w14:textId="77777777" w:rsidR="000871B4" w:rsidRPr="00CB0316" w:rsidRDefault="000871B4" w:rsidP="0009512E">
            <w:pPr>
              <w:suppressAutoHyphens/>
              <w:spacing w:line="288" w:lineRule="auto"/>
              <w:jc w:val="right"/>
              <w:rPr>
                <w:rFonts w:ascii="Times New Roman" w:hAnsi="Times New Roman"/>
                <w:sz w:val="20"/>
                <w:szCs w:val="20"/>
              </w:rPr>
            </w:pPr>
            <w:r w:rsidRPr="00CB0316">
              <w:rPr>
                <w:rFonts w:ascii="Times New Roman" w:hAnsi="Times New Roman"/>
                <w:sz w:val="20"/>
                <w:szCs w:val="20"/>
              </w:rPr>
              <w:t>Pages 200 to 208</w:t>
            </w:r>
          </w:p>
        </w:tc>
      </w:tr>
      <w:tr w:rsidR="00125818" w:rsidRPr="00CB0316" w14:paraId="0C50BD47" w14:textId="77777777" w:rsidTr="00671ADE">
        <w:tc>
          <w:tcPr>
            <w:tcW w:w="959" w:type="dxa"/>
            <w:hideMark/>
          </w:tcPr>
          <w:p w14:paraId="5C25BAA9" w14:textId="77777777" w:rsidR="000871B4" w:rsidRPr="00CB0316" w:rsidRDefault="000871B4" w:rsidP="0009512E">
            <w:pPr>
              <w:pStyle w:val="NormalAshurst"/>
              <w:spacing w:after="0" w:line="288" w:lineRule="auto"/>
              <w:rPr>
                <w:rFonts w:ascii="Times New Roman" w:hAnsi="Times New Roman" w:cs="Times New Roman"/>
                <w:sz w:val="20"/>
                <w:szCs w:val="20"/>
              </w:rPr>
            </w:pPr>
            <w:r w:rsidRPr="00CB0316">
              <w:rPr>
                <w:rFonts w:ascii="Times New Roman" w:hAnsi="Times New Roman" w:cs="Times New Roman"/>
                <w:sz w:val="20"/>
                <w:szCs w:val="20"/>
              </w:rPr>
              <w:t>Item 2.</w:t>
            </w:r>
          </w:p>
        </w:tc>
        <w:tc>
          <w:tcPr>
            <w:tcW w:w="5987" w:type="dxa"/>
            <w:hideMark/>
          </w:tcPr>
          <w:p w14:paraId="2E76DFE7" w14:textId="77777777" w:rsidR="000871B4" w:rsidRPr="00CB0316" w:rsidRDefault="000871B4" w:rsidP="0009512E">
            <w:pPr>
              <w:pStyle w:val="NormalAshurst"/>
              <w:spacing w:after="0" w:line="288" w:lineRule="auto"/>
              <w:rPr>
                <w:rFonts w:ascii="Times New Roman" w:hAnsi="Times New Roman" w:cs="Times New Roman"/>
                <w:sz w:val="20"/>
                <w:szCs w:val="20"/>
              </w:rPr>
            </w:pPr>
            <w:r w:rsidRPr="00CB0316">
              <w:rPr>
                <w:rFonts w:ascii="Times New Roman" w:hAnsi="Times New Roman" w:cs="Times New Roman"/>
                <w:bCs/>
                <w:sz w:val="20"/>
                <w:szCs w:val="20"/>
              </w:rPr>
              <w:t>Management's Discussion and Analysis of Financial Condition and Results of Operations.</w:t>
            </w:r>
          </w:p>
        </w:tc>
        <w:tc>
          <w:tcPr>
            <w:tcW w:w="1667" w:type="dxa"/>
          </w:tcPr>
          <w:p w14:paraId="21787A16" w14:textId="77777777" w:rsidR="000871B4" w:rsidRPr="00CB0316" w:rsidRDefault="000871B4" w:rsidP="0009512E">
            <w:pPr>
              <w:suppressAutoHyphens/>
              <w:spacing w:line="288" w:lineRule="auto"/>
              <w:jc w:val="right"/>
              <w:rPr>
                <w:rFonts w:ascii="Times New Roman" w:hAnsi="Times New Roman"/>
                <w:sz w:val="20"/>
                <w:szCs w:val="20"/>
              </w:rPr>
            </w:pPr>
          </w:p>
        </w:tc>
      </w:tr>
      <w:tr w:rsidR="00125818" w:rsidRPr="00CB0316" w14:paraId="55C282F5" w14:textId="77777777" w:rsidTr="00671ADE">
        <w:tc>
          <w:tcPr>
            <w:tcW w:w="959" w:type="dxa"/>
          </w:tcPr>
          <w:p w14:paraId="1052702E" w14:textId="77777777" w:rsidR="000871B4" w:rsidRPr="00CB0316" w:rsidRDefault="000871B4" w:rsidP="0009512E">
            <w:pPr>
              <w:pStyle w:val="NormalAshurst"/>
              <w:spacing w:after="0" w:line="288" w:lineRule="auto"/>
              <w:rPr>
                <w:rFonts w:ascii="Times New Roman" w:hAnsi="Times New Roman" w:cs="Times New Roman"/>
                <w:sz w:val="20"/>
                <w:szCs w:val="20"/>
              </w:rPr>
            </w:pPr>
          </w:p>
        </w:tc>
        <w:tc>
          <w:tcPr>
            <w:tcW w:w="5987" w:type="dxa"/>
            <w:hideMark/>
          </w:tcPr>
          <w:p w14:paraId="45A65F90" w14:textId="77777777" w:rsidR="000871B4" w:rsidRPr="00CB0316" w:rsidRDefault="000871B4" w:rsidP="0009512E">
            <w:pPr>
              <w:pStyle w:val="NormalAshurst"/>
              <w:spacing w:after="0" w:line="288" w:lineRule="auto"/>
              <w:ind w:left="284"/>
              <w:rPr>
                <w:rFonts w:ascii="Times New Roman" w:hAnsi="Times New Roman" w:cs="Times New Roman"/>
                <w:sz w:val="20"/>
                <w:szCs w:val="20"/>
              </w:rPr>
            </w:pPr>
            <w:r w:rsidRPr="00CB0316">
              <w:rPr>
                <w:rFonts w:ascii="Times New Roman" w:hAnsi="Times New Roman" w:cs="Times New Roman"/>
                <w:sz w:val="20"/>
                <w:szCs w:val="20"/>
              </w:rPr>
              <w:t>Consolidated Financial Highlights</w:t>
            </w:r>
          </w:p>
        </w:tc>
        <w:tc>
          <w:tcPr>
            <w:tcW w:w="1667" w:type="dxa"/>
            <w:hideMark/>
          </w:tcPr>
          <w:p w14:paraId="1AAD02C3" w14:textId="77777777" w:rsidR="000871B4" w:rsidRPr="00CB0316" w:rsidRDefault="000871B4" w:rsidP="0009512E">
            <w:pPr>
              <w:suppressAutoHyphens/>
              <w:spacing w:line="288" w:lineRule="auto"/>
              <w:jc w:val="right"/>
              <w:rPr>
                <w:rFonts w:ascii="Times New Roman" w:hAnsi="Times New Roman"/>
                <w:sz w:val="20"/>
                <w:szCs w:val="20"/>
              </w:rPr>
            </w:pPr>
            <w:r w:rsidRPr="00CB0316">
              <w:rPr>
                <w:rFonts w:ascii="Times New Roman" w:hAnsi="Times New Roman"/>
                <w:sz w:val="20"/>
                <w:szCs w:val="20"/>
              </w:rPr>
              <w:t>Page 3</w:t>
            </w:r>
          </w:p>
        </w:tc>
      </w:tr>
      <w:tr w:rsidR="00125818" w:rsidRPr="00CB0316" w14:paraId="6E9776AF" w14:textId="77777777" w:rsidTr="00671ADE">
        <w:tc>
          <w:tcPr>
            <w:tcW w:w="959" w:type="dxa"/>
          </w:tcPr>
          <w:p w14:paraId="5F63E3CD" w14:textId="77777777" w:rsidR="000871B4" w:rsidRPr="00CB0316" w:rsidRDefault="000871B4" w:rsidP="0009512E">
            <w:pPr>
              <w:rPr>
                <w:rFonts w:ascii="Times New Roman" w:hAnsi="Times New Roman"/>
                <w:sz w:val="20"/>
                <w:szCs w:val="20"/>
              </w:rPr>
            </w:pPr>
          </w:p>
        </w:tc>
        <w:tc>
          <w:tcPr>
            <w:tcW w:w="5987" w:type="dxa"/>
            <w:hideMark/>
          </w:tcPr>
          <w:p w14:paraId="16270904" w14:textId="77777777" w:rsidR="000871B4" w:rsidRPr="00CB0316" w:rsidRDefault="000871B4" w:rsidP="0009512E">
            <w:pPr>
              <w:pStyle w:val="NormalAshurst"/>
              <w:spacing w:after="0" w:line="288" w:lineRule="auto"/>
              <w:ind w:left="284"/>
              <w:rPr>
                <w:rFonts w:ascii="Times New Roman" w:hAnsi="Times New Roman" w:cs="Times New Roman"/>
                <w:sz w:val="20"/>
                <w:szCs w:val="20"/>
              </w:rPr>
            </w:pPr>
            <w:r w:rsidRPr="00CB0316">
              <w:rPr>
                <w:rFonts w:ascii="Times New Roman" w:hAnsi="Times New Roman" w:cs="Times New Roman"/>
                <w:sz w:val="20"/>
                <w:szCs w:val="20"/>
              </w:rPr>
              <w:t>Introduction</w:t>
            </w:r>
          </w:p>
        </w:tc>
        <w:tc>
          <w:tcPr>
            <w:tcW w:w="1667" w:type="dxa"/>
            <w:hideMark/>
          </w:tcPr>
          <w:p w14:paraId="72919440" w14:textId="77777777" w:rsidR="000871B4" w:rsidRPr="00CB0316" w:rsidRDefault="000871B4" w:rsidP="0009512E">
            <w:pPr>
              <w:suppressAutoHyphens/>
              <w:spacing w:line="288" w:lineRule="auto"/>
              <w:jc w:val="right"/>
              <w:rPr>
                <w:rFonts w:ascii="Times New Roman" w:hAnsi="Times New Roman"/>
                <w:sz w:val="20"/>
                <w:szCs w:val="20"/>
              </w:rPr>
            </w:pPr>
            <w:r w:rsidRPr="00CB0316">
              <w:rPr>
                <w:rFonts w:ascii="Times New Roman" w:hAnsi="Times New Roman"/>
                <w:sz w:val="20"/>
                <w:szCs w:val="20"/>
              </w:rPr>
              <w:t>Page 4</w:t>
            </w:r>
          </w:p>
        </w:tc>
      </w:tr>
      <w:tr w:rsidR="00125818" w:rsidRPr="00CB0316" w14:paraId="1B761952" w14:textId="77777777" w:rsidTr="00671ADE">
        <w:tc>
          <w:tcPr>
            <w:tcW w:w="959" w:type="dxa"/>
          </w:tcPr>
          <w:p w14:paraId="23F5A96E" w14:textId="77777777" w:rsidR="000871B4" w:rsidRPr="00CB0316" w:rsidRDefault="000871B4" w:rsidP="0009512E">
            <w:pPr>
              <w:rPr>
                <w:rFonts w:ascii="Times New Roman" w:hAnsi="Times New Roman"/>
                <w:sz w:val="20"/>
                <w:szCs w:val="20"/>
              </w:rPr>
            </w:pPr>
          </w:p>
        </w:tc>
        <w:tc>
          <w:tcPr>
            <w:tcW w:w="5987" w:type="dxa"/>
            <w:hideMark/>
          </w:tcPr>
          <w:p w14:paraId="22719B68" w14:textId="77777777" w:rsidR="000871B4" w:rsidRPr="00CB0316" w:rsidRDefault="000871B4" w:rsidP="0009512E">
            <w:pPr>
              <w:pStyle w:val="NormalAshurst"/>
              <w:spacing w:after="0" w:line="288" w:lineRule="auto"/>
              <w:ind w:left="284"/>
              <w:rPr>
                <w:rFonts w:ascii="Times New Roman" w:hAnsi="Times New Roman" w:cs="Times New Roman"/>
                <w:sz w:val="20"/>
                <w:szCs w:val="20"/>
              </w:rPr>
            </w:pPr>
            <w:r w:rsidRPr="00CB0316">
              <w:rPr>
                <w:rFonts w:ascii="Times New Roman" w:hAnsi="Times New Roman" w:cs="Times New Roman"/>
                <w:sz w:val="20"/>
                <w:szCs w:val="20"/>
              </w:rPr>
              <w:t>Executive Overview</w:t>
            </w:r>
          </w:p>
        </w:tc>
        <w:tc>
          <w:tcPr>
            <w:tcW w:w="1667" w:type="dxa"/>
            <w:hideMark/>
          </w:tcPr>
          <w:p w14:paraId="7B63B254" w14:textId="77777777" w:rsidR="000871B4" w:rsidRPr="00CB0316" w:rsidRDefault="000871B4" w:rsidP="0009512E">
            <w:pPr>
              <w:suppressAutoHyphens/>
              <w:spacing w:line="288" w:lineRule="auto"/>
              <w:jc w:val="right"/>
              <w:rPr>
                <w:rFonts w:ascii="Times New Roman" w:hAnsi="Times New Roman"/>
                <w:sz w:val="20"/>
                <w:szCs w:val="20"/>
              </w:rPr>
            </w:pPr>
            <w:r w:rsidRPr="00CB0316">
              <w:rPr>
                <w:rFonts w:ascii="Times New Roman" w:hAnsi="Times New Roman"/>
                <w:sz w:val="20"/>
                <w:szCs w:val="20"/>
              </w:rPr>
              <w:t>Pages 5 to 9</w:t>
            </w:r>
          </w:p>
        </w:tc>
      </w:tr>
      <w:tr w:rsidR="00125818" w:rsidRPr="00CB0316" w14:paraId="3AC2BB14" w14:textId="77777777" w:rsidTr="00671ADE">
        <w:tc>
          <w:tcPr>
            <w:tcW w:w="959" w:type="dxa"/>
          </w:tcPr>
          <w:p w14:paraId="0965C4CC" w14:textId="77777777" w:rsidR="000871B4" w:rsidRPr="00CB0316" w:rsidRDefault="000871B4" w:rsidP="0009512E">
            <w:pPr>
              <w:rPr>
                <w:rFonts w:ascii="Times New Roman" w:hAnsi="Times New Roman"/>
                <w:sz w:val="20"/>
                <w:szCs w:val="20"/>
              </w:rPr>
            </w:pPr>
          </w:p>
        </w:tc>
        <w:tc>
          <w:tcPr>
            <w:tcW w:w="5987" w:type="dxa"/>
            <w:hideMark/>
          </w:tcPr>
          <w:p w14:paraId="203B8B32" w14:textId="77777777" w:rsidR="000871B4" w:rsidRPr="00CB0316" w:rsidRDefault="000871B4" w:rsidP="0009512E">
            <w:pPr>
              <w:pStyle w:val="NormalAshurst"/>
              <w:spacing w:after="0" w:line="288" w:lineRule="auto"/>
              <w:ind w:left="284"/>
              <w:rPr>
                <w:rFonts w:ascii="Times New Roman" w:hAnsi="Times New Roman" w:cs="Times New Roman"/>
                <w:sz w:val="20"/>
                <w:szCs w:val="20"/>
              </w:rPr>
            </w:pPr>
            <w:r w:rsidRPr="00CB0316">
              <w:rPr>
                <w:rFonts w:ascii="Times New Roman" w:hAnsi="Times New Roman" w:cs="Times New Roman"/>
                <w:sz w:val="20"/>
                <w:szCs w:val="20"/>
              </w:rPr>
              <w:t>Consolidated Results of Operations</w:t>
            </w:r>
          </w:p>
        </w:tc>
        <w:tc>
          <w:tcPr>
            <w:tcW w:w="1667" w:type="dxa"/>
            <w:hideMark/>
          </w:tcPr>
          <w:p w14:paraId="2757C2C6" w14:textId="77777777" w:rsidR="000871B4" w:rsidRPr="00CB0316" w:rsidRDefault="000871B4" w:rsidP="0009512E">
            <w:pPr>
              <w:suppressAutoHyphens/>
              <w:spacing w:line="288" w:lineRule="auto"/>
              <w:jc w:val="right"/>
              <w:rPr>
                <w:rFonts w:ascii="Times New Roman" w:hAnsi="Times New Roman"/>
                <w:sz w:val="20"/>
                <w:szCs w:val="20"/>
              </w:rPr>
            </w:pPr>
            <w:r w:rsidRPr="00CB0316">
              <w:rPr>
                <w:rFonts w:ascii="Times New Roman" w:hAnsi="Times New Roman"/>
                <w:sz w:val="20"/>
                <w:szCs w:val="20"/>
              </w:rPr>
              <w:t>Pages 10 to 15</w:t>
            </w:r>
          </w:p>
        </w:tc>
      </w:tr>
      <w:tr w:rsidR="00125818" w:rsidRPr="00CB0316" w14:paraId="18EBFC13" w14:textId="77777777" w:rsidTr="00671ADE">
        <w:tc>
          <w:tcPr>
            <w:tcW w:w="959" w:type="dxa"/>
          </w:tcPr>
          <w:p w14:paraId="34036B2E" w14:textId="77777777" w:rsidR="000871B4" w:rsidRPr="00CB0316" w:rsidRDefault="000871B4" w:rsidP="0009512E">
            <w:pPr>
              <w:rPr>
                <w:rFonts w:ascii="Times New Roman" w:hAnsi="Times New Roman"/>
                <w:sz w:val="20"/>
                <w:szCs w:val="20"/>
              </w:rPr>
            </w:pPr>
          </w:p>
        </w:tc>
        <w:tc>
          <w:tcPr>
            <w:tcW w:w="5987" w:type="dxa"/>
            <w:hideMark/>
          </w:tcPr>
          <w:p w14:paraId="02339FF4" w14:textId="77777777" w:rsidR="000871B4" w:rsidRPr="00CB0316" w:rsidRDefault="000871B4" w:rsidP="0009512E">
            <w:pPr>
              <w:pStyle w:val="NormalAshurst"/>
              <w:spacing w:after="0" w:line="288" w:lineRule="auto"/>
              <w:ind w:left="284"/>
              <w:rPr>
                <w:rFonts w:ascii="Times New Roman" w:hAnsi="Times New Roman" w:cs="Times New Roman"/>
                <w:sz w:val="20"/>
                <w:szCs w:val="20"/>
              </w:rPr>
            </w:pPr>
            <w:r w:rsidRPr="00CB0316">
              <w:rPr>
                <w:rFonts w:ascii="Times New Roman" w:hAnsi="Times New Roman" w:cs="Times New Roman"/>
                <w:sz w:val="20"/>
                <w:szCs w:val="20"/>
              </w:rPr>
              <w:t>Consolidated Balance Sheets and Cash Flows Analysis</w:t>
            </w:r>
          </w:p>
        </w:tc>
        <w:tc>
          <w:tcPr>
            <w:tcW w:w="1667" w:type="dxa"/>
            <w:hideMark/>
          </w:tcPr>
          <w:p w14:paraId="118BF7C2" w14:textId="77777777" w:rsidR="000871B4" w:rsidRPr="00CB0316" w:rsidRDefault="000871B4" w:rsidP="0009512E">
            <w:pPr>
              <w:suppressAutoHyphens/>
              <w:spacing w:line="288" w:lineRule="auto"/>
              <w:jc w:val="right"/>
              <w:rPr>
                <w:rFonts w:ascii="Times New Roman" w:hAnsi="Times New Roman"/>
                <w:sz w:val="20"/>
                <w:szCs w:val="20"/>
              </w:rPr>
            </w:pPr>
            <w:r w:rsidRPr="00CB0316">
              <w:rPr>
                <w:rFonts w:ascii="Times New Roman" w:hAnsi="Times New Roman"/>
                <w:sz w:val="20"/>
                <w:szCs w:val="20"/>
              </w:rPr>
              <w:t>Pages 16 to 19</w:t>
            </w:r>
          </w:p>
        </w:tc>
      </w:tr>
      <w:tr w:rsidR="00125818" w:rsidRPr="00CB0316" w14:paraId="1E78D5D9" w14:textId="77777777" w:rsidTr="00671ADE">
        <w:tc>
          <w:tcPr>
            <w:tcW w:w="959" w:type="dxa"/>
          </w:tcPr>
          <w:p w14:paraId="150694D9" w14:textId="77777777" w:rsidR="000871B4" w:rsidRPr="00CB0316" w:rsidRDefault="000871B4" w:rsidP="0009512E">
            <w:pPr>
              <w:rPr>
                <w:rFonts w:ascii="Times New Roman" w:hAnsi="Times New Roman"/>
                <w:sz w:val="20"/>
                <w:szCs w:val="20"/>
              </w:rPr>
            </w:pPr>
          </w:p>
        </w:tc>
        <w:tc>
          <w:tcPr>
            <w:tcW w:w="5987" w:type="dxa"/>
            <w:hideMark/>
          </w:tcPr>
          <w:p w14:paraId="38890DEB" w14:textId="77777777" w:rsidR="000871B4" w:rsidRPr="00CB0316" w:rsidRDefault="000871B4" w:rsidP="0009512E">
            <w:pPr>
              <w:pStyle w:val="NormalAshurst"/>
              <w:spacing w:after="0" w:line="288" w:lineRule="auto"/>
              <w:ind w:left="284"/>
              <w:rPr>
                <w:rFonts w:ascii="Times New Roman" w:hAnsi="Times New Roman" w:cs="Times New Roman"/>
                <w:sz w:val="20"/>
                <w:szCs w:val="20"/>
              </w:rPr>
            </w:pPr>
            <w:r w:rsidRPr="00CB0316">
              <w:rPr>
                <w:rFonts w:ascii="Times New Roman" w:hAnsi="Times New Roman" w:cs="Times New Roman"/>
                <w:sz w:val="20"/>
                <w:szCs w:val="20"/>
              </w:rPr>
              <w:t xml:space="preserve">Explanation and Reconciliation of the Firm's Use of Non-GAAP Financial Measures </w:t>
            </w:r>
          </w:p>
        </w:tc>
        <w:tc>
          <w:tcPr>
            <w:tcW w:w="1667" w:type="dxa"/>
            <w:hideMark/>
          </w:tcPr>
          <w:p w14:paraId="7CE7B5FA" w14:textId="77777777" w:rsidR="000871B4" w:rsidRPr="00CB0316" w:rsidRDefault="000871B4" w:rsidP="0009512E">
            <w:pPr>
              <w:suppressAutoHyphens/>
              <w:spacing w:line="288" w:lineRule="auto"/>
              <w:jc w:val="right"/>
              <w:rPr>
                <w:rFonts w:ascii="Times New Roman" w:hAnsi="Times New Roman"/>
                <w:sz w:val="20"/>
                <w:szCs w:val="20"/>
              </w:rPr>
            </w:pPr>
            <w:r w:rsidRPr="00CB0316">
              <w:rPr>
                <w:rFonts w:ascii="Times New Roman" w:hAnsi="Times New Roman"/>
                <w:sz w:val="20"/>
                <w:szCs w:val="20"/>
              </w:rPr>
              <w:t>Pages 20 to 21</w:t>
            </w:r>
          </w:p>
        </w:tc>
      </w:tr>
      <w:tr w:rsidR="00125818" w:rsidRPr="00CB0316" w14:paraId="598DD843" w14:textId="77777777" w:rsidTr="00671ADE">
        <w:tc>
          <w:tcPr>
            <w:tcW w:w="959" w:type="dxa"/>
          </w:tcPr>
          <w:p w14:paraId="262280CC" w14:textId="77777777" w:rsidR="000871B4" w:rsidRPr="00CB0316" w:rsidRDefault="000871B4" w:rsidP="0009512E">
            <w:pPr>
              <w:rPr>
                <w:rFonts w:ascii="Times New Roman" w:hAnsi="Times New Roman"/>
                <w:sz w:val="20"/>
                <w:szCs w:val="20"/>
              </w:rPr>
            </w:pPr>
          </w:p>
        </w:tc>
        <w:tc>
          <w:tcPr>
            <w:tcW w:w="5987" w:type="dxa"/>
            <w:hideMark/>
          </w:tcPr>
          <w:p w14:paraId="14B3C7E9" w14:textId="77777777" w:rsidR="000871B4" w:rsidRPr="00CB0316" w:rsidRDefault="000871B4" w:rsidP="0009512E">
            <w:pPr>
              <w:pStyle w:val="NormalAshurst"/>
              <w:spacing w:after="0" w:line="288" w:lineRule="auto"/>
              <w:ind w:left="284"/>
              <w:rPr>
                <w:rFonts w:ascii="Times New Roman" w:hAnsi="Times New Roman" w:cs="Times New Roman"/>
                <w:sz w:val="20"/>
                <w:szCs w:val="20"/>
              </w:rPr>
            </w:pPr>
            <w:r w:rsidRPr="00CB0316">
              <w:rPr>
                <w:rFonts w:ascii="Times New Roman" w:hAnsi="Times New Roman" w:cs="Times New Roman"/>
                <w:sz w:val="20"/>
                <w:szCs w:val="20"/>
              </w:rPr>
              <w:t>Business Segment Results</w:t>
            </w:r>
          </w:p>
        </w:tc>
        <w:tc>
          <w:tcPr>
            <w:tcW w:w="1667" w:type="dxa"/>
            <w:hideMark/>
          </w:tcPr>
          <w:p w14:paraId="5008F927" w14:textId="77777777" w:rsidR="000871B4" w:rsidRPr="00CB0316" w:rsidRDefault="000871B4" w:rsidP="0009512E">
            <w:pPr>
              <w:suppressAutoHyphens/>
              <w:spacing w:line="288" w:lineRule="auto"/>
              <w:jc w:val="right"/>
              <w:rPr>
                <w:rFonts w:ascii="Times New Roman" w:hAnsi="Times New Roman"/>
                <w:sz w:val="20"/>
                <w:szCs w:val="20"/>
              </w:rPr>
            </w:pPr>
            <w:r w:rsidRPr="00CB0316">
              <w:rPr>
                <w:rFonts w:ascii="Times New Roman" w:hAnsi="Times New Roman"/>
                <w:sz w:val="20"/>
                <w:szCs w:val="20"/>
              </w:rPr>
              <w:t>Pages 22 to 46</w:t>
            </w:r>
          </w:p>
        </w:tc>
      </w:tr>
      <w:tr w:rsidR="00125818" w:rsidRPr="00CB0316" w14:paraId="21BF1F6F" w14:textId="77777777" w:rsidTr="00671ADE">
        <w:tc>
          <w:tcPr>
            <w:tcW w:w="959" w:type="dxa"/>
          </w:tcPr>
          <w:p w14:paraId="78ECFDD0" w14:textId="77777777" w:rsidR="000871B4" w:rsidRPr="00CB0316" w:rsidRDefault="000871B4" w:rsidP="0009512E">
            <w:pPr>
              <w:rPr>
                <w:rFonts w:ascii="Times New Roman" w:hAnsi="Times New Roman"/>
                <w:sz w:val="20"/>
                <w:szCs w:val="20"/>
              </w:rPr>
            </w:pPr>
          </w:p>
        </w:tc>
        <w:tc>
          <w:tcPr>
            <w:tcW w:w="5987" w:type="dxa"/>
            <w:hideMark/>
          </w:tcPr>
          <w:p w14:paraId="36D20C9A" w14:textId="77777777" w:rsidR="000871B4" w:rsidRPr="00CB0316" w:rsidRDefault="000871B4" w:rsidP="0009512E">
            <w:pPr>
              <w:suppressAutoHyphens/>
              <w:spacing w:line="288" w:lineRule="auto"/>
              <w:ind w:left="284"/>
              <w:rPr>
                <w:rFonts w:ascii="Times New Roman" w:hAnsi="Times New Roman"/>
                <w:sz w:val="20"/>
                <w:szCs w:val="20"/>
              </w:rPr>
            </w:pPr>
            <w:r w:rsidRPr="00CB0316">
              <w:rPr>
                <w:rFonts w:ascii="Times New Roman" w:hAnsi="Times New Roman"/>
                <w:sz w:val="20"/>
                <w:szCs w:val="20"/>
              </w:rPr>
              <w:t>Firmwide Risk Management</w:t>
            </w:r>
          </w:p>
        </w:tc>
        <w:tc>
          <w:tcPr>
            <w:tcW w:w="1667" w:type="dxa"/>
            <w:hideMark/>
          </w:tcPr>
          <w:p w14:paraId="333A3A0D" w14:textId="77777777" w:rsidR="000871B4" w:rsidRPr="00CB0316" w:rsidRDefault="000871B4" w:rsidP="0009512E">
            <w:pPr>
              <w:suppressAutoHyphens/>
              <w:spacing w:line="288" w:lineRule="auto"/>
              <w:jc w:val="right"/>
              <w:rPr>
                <w:rFonts w:ascii="Times New Roman" w:hAnsi="Times New Roman"/>
                <w:sz w:val="20"/>
                <w:szCs w:val="20"/>
              </w:rPr>
            </w:pPr>
            <w:r w:rsidRPr="00CB0316">
              <w:rPr>
                <w:rFonts w:ascii="Times New Roman" w:hAnsi="Times New Roman"/>
                <w:sz w:val="20"/>
                <w:szCs w:val="20"/>
              </w:rPr>
              <w:t>Page 47</w:t>
            </w:r>
          </w:p>
        </w:tc>
      </w:tr>
      <w:tr w:rsidR="00125818" w:rsidRPr="00CB0316" w14:paraId="7C71A069" w14:textId="77777777" w:rsidTr="00671ADE">
        <w:tc>
          <w:tcPr>
            <w:tcW w:w="959" w:type="dxa"/>
          </w:tcPr>
          <w:p w14:paraId="1B4603A7" w14:textId="77777777" w:rsidR="000871B4" w:rsidRPr="00CB0316" w:rsidRDefault="000871B4" w:rsidP="0009512E">
            <w:pPr>
              <w:rPr>
                <w:rFonts w:ascii="Times New Roman" w:hAnsi="Times New Roman"/>
                <w:sz w:val="20"/>
                <w:szCs w:val="20"/>
              </w:rPr>
            </w:pPr>
          </w:p>
        </w:tc>
        <w:tc>
          <w:tcPr>
            <w:tcW w:w="5987" w:type="dxa"/>
            <w:hideMark/>
          </w:tcPr>
          <w:p w14:paraId="6806E9F1" w14:textId="77777777" w:rsidR="000871B4" w:rsidRPr="00CB0316" w:rsidRDefault="000871B4" w:rsidP="0009512E">
            <w:pPr>
              <w:suppressAutoHyphens/>
              <w:spacing w:line="288" w:lineRule="auto"/>
              <w:ind w:left="567" w:firstLine="1"/>
              <w:rPr>
                <w:rFonts w:ascii="Times New Roman" w:hAnsi="Times New Roman"/>
                <w:sz w:val="20"/>
                <w:szCs w:val="20"/>
              </w:rPr>
            </w:pPr>
            <w:r w:rsidRPr="00CB0316">
              <w:rPr>
                <w:rFonts w:ascii="Times New Roman" w:hAnsi="Times New Roman"/>
                <w:sz w:val="20"/>
                <w:szCs w:val="20"/>
              </w:rPr>
              <w:t>Capital Risk Management</w:t>
            </w:r>
          </w:p>
        </w:tc>
        <w:tc>
          <w:tcPr>
            <w:tcW w:w="1667" w:type="dxa"/>
            <w:hideMark/>
          </w:tcPr>
          <w:p w14:paraId="6C49BF4E" w14:textId="77777777" w:rsidR="000871B4" w:rsidRPr="00CB0316" w:rsidRDefault="000871B4" w:rsidP="0009512E">
            <w:pPr>
              <w:suppressAutoHyphens/>
              <w:spacing w:line="288" w:lineRule="auto"/>
              <w:jc w:val="right"/>
              <w:rPr>
                <w:rFonts w:ascii="Times New Roman" w:hAnsi="Times New Roman"/>
                <w:sz w:val="20"/>
                <w:szCs w:val="20"/>
              </w:rPr>
            </w:pPr>
            <w:r w:rsidRPr="00CB0316">
              <w:rPr>
                <w:rFonts w:ascii="Times New Roman" w:hAnsi="Times New Roman"/>
                <w:sz w:val="20"/>
                <w:szCs w:val="20"/>
              </w:rPr>
              <w:t>Pages 48 to 53</w:t>
            </w:r>
          </w:p>
        </w:tc>
      </w:tr>
      <w:tr w:rsidR="00125818" w:rsidRPr="00CB0316" w14:paraId="393216CE" w14:textId="77777777" w:rsidTr="00671ADE">
        <w:tc>
          <w:tcPr>
            <w:tcW w:w="959" w:type="dxa"/>
          </w:tcPr>
          <w:p w14:paraId="12DEEC71" w14:textId="77777777" w:rsidR="000871B4" w:rsidRPr="00CB0316" w:rsidRDefault="000871B4" w:rsidP="0009512E">
            <w:pPr>
              <w:rPr>
                <w:rFonts w:ascii="Times New Roman" w:hAnsi="Times New Roman"/>
                <w:sz w:val="20"/>
                <w:szCs w:val="20"/>
              </w:rPr>
            </w:pPr>
          </w:p>
        </w:tc>
        <w:tc>
          <w:tcPr>
            <w:tcW w:w="5987" w:type="dxa"/>
            <w:hideMark/>
          </w:tcPr>
          <w:p w14:paraId="0D21680C" w14:textId="77777777" w:rsidR="000871B4" w:rsidRPr="00CB0316" w:rsidRDefault="000871B4" w:rsidP="0009512E">
            <w:pPr>
              <w:suppressAutoHyphens/>
              <w:spacing w:line="288" w:lineRule="auto"/>
              <w:ind w:left="567" w:firstLine="1"/>
              <w:rPr>
                <w:rFonts w:ascii="Times New Roman" w:hAnsi="Times New Roman"/>
                <w:sz w:val="20"/>
                <w:szCs w:val="20"/>
              </w:rPr>
            </w:pPr>
            <w:r w:rsidRPr="00CB0316">
              <w:rPr>
                <w:rFonts w:ascii="Times New Roman" w:hAnsi="Times New Roman"/>
                <w:sz w:val="20"/>
                <w:szCs w:val="20"/>
              </w:rPr>
              <w:t>Liquidity Risk Management</w:t>
            </w:r>
          </w:p>
        </w:tc>
        <w:tc>
          <w:tcPr>
            <w:tcW w:w="1667" w:type="dxa"/>
            <w:hideMark/>
          </w:tcPr>
          <w:p w14:paraId="55A1424A" w14:textId="77777777" w:rsidR="000871B4" w:rsidRPr="00CB0316" w:rsidRDefault="000871B4" w:rsidP="0009512E">
            <w:pPr>
              <w:suppressAutoHyphens/>
              <w:spacing w:line="288" w:lineRule="auto"/>
              <w:jc w:val="right"/>
              <w:rPr>
                <w:rFonts w:ascii="Times New Roman" w:hAnsi="Times New Roman"/>
                <w:sz w:val="20"/>
                <w:szCs w:val="20"/>
              </w:rPr>
            </w:pPr>
            <w:r w:rsidRPr="00CB0316">
              <w:rPr>
                <w:rFonts w:ascii="Times New Roman" w:hAnsi="Times New Roman"/>
                <w:sz w:val="20"/>
                <w:szCs w:val="20"/>
              </w:rPr>
              <w:t>Pages 54 to 64</w:t>
            </w:r>
          </w:p>
        </w:tc>
      </w:tr>
      <w:tr w:rsidR="00125818" w:rsidRPr="00CB0316" w14:paraId="7CC95566" w14:textId="77777777" w:rsidTr="00671ADE">
        <w:tc>
          <w:tcPr>
            <w:tcW w:w="959" w:type="dxa"/>
          </w:tcPr>
          <w:p w14:paraId="09CE55FE" w14:textId="77777777" w:rsidR="000871B4" w:rsidRPr="00CB0316" w:rsidRDefault="000871B4" w:rsidP="0009512E">
            <w:pPr>
              <w:rPr>
                <w:rFonts w:ascii="Times New Roman" w:hAnsi="Times New Roman"/>
                <w:sz w:val="20"/>
                <w:szCs w:val="20"/>
              </w:rPr>
            </w:pPr>
          </w:p>
        </w:tc>
        <w:tc>
          <w:tcPr>
            <w:tcW w:w="5987" w:type="dxa"/>
            <w:hideMark/>
          </w:tcPr>
          <w:p w14:paraId="4BC5A3C6" w14:textId="77777777" w:rsidR="000871B4" w:rsidRPr="00CB0316" w:rsidRDefault="000871B4" w:rsidP="0009512E">
            <w:pPr>
              <w:suppressAutoHyphens/>
              <w:spacing w:line="288" w:lineRule="auto"/>
              <w:ind w:left="567" w:firstLine="1"/>
              <w:rPr>
                <w:rFonts w:ascii="Times New Roman" w:hAnsi="Times New Roman"/>
                <w:sz w:val="20"/>
                <w:szCs w:val="20"/>
              </w:rPr>
            </w:pPr>
            <w:r w:rsidRPr="00CB0316">
              <w:rPr>
                <w:rFonts w:ascii="Times New Roman" w:hAnsi="Times New Roman"/>
                <w:sz w:val="20"/>
                <w:szCs w:val="20"/>
              </w:rPr>
              <w:t>Consumer Credit Portfolio</w:t>
            </w:r>
          </w:p>
        </w:tc>
        <w:tc>
          <w:tcPr>
            <w:tcW w:w="1667" w:type="dxa"/>
            <w:hideMark/>
          </w:tcPr>
          <w:p w14:paraId="7828CD1A" w14:textId="77777777" w:rsidR="000871B4" w:rsidRPr="00CB0316" w:rsidRDefault="000871B4" w:rsidP="0009512E">
            <w:pPr>
              <w:suppressAutoHyphens/>
              <w:spacing w:line="288" w:lineRule="auto"/>
              <w:jc w:val="right"/>
              <w:rPr>
                <w:rFonts w:ascii="Times New Roman" w:hAnsi="Times New Roman"/>
                <w:sz w:val="20"/>
                <w:szCs w:val="20"/>
              </w:rPr>
            </w:pPr>
            <w:r w:rsidRPr="00CB0316">
              <w:rPr>
                <w:rFonts w:ascii="Times New Roman" w:hAnsi="Times New Roman"/>
                <w:sz w:val="20"/>
                <w:szCs w:val="20"/>
              </w:rPr>
              <w:t>Pages 65 to 69</w:t>
            </w:r>
          </w:p>
        </w:tc>
      </w:tr>
      <w:tr w:rsidR="00125818" w:rsidRPr="00CB0316" w14:paraId="3F09435E" w14:textId="77777777" w:rsidTr="00671ADE">
        <w:tc>
          <w:tcPr>
            <w:tcW w:w="959" w:type="dxa"/>
          </w:tcPr>
          <w:p w14:paraId="591F60B7" w14:textId="77777777" w:rsidR="000871B4" w:rsidRPr="00CB0316" w:rsidRDefault="000871B4" w:rsidP="0009512E">
            <w:pPr>
              <w:rPr>
                <w:rFonts w:ascii="Times New Roman" w:hAnsi="Times New Roman"/>
                <w:sz w:val="20"/>
                <w:szCs w:val="20"/>
              </w:rPr>
            </w:pPr>
          </w:p>
        </w:tc>
        <w:tc>
          <w:tcPr>
            <w:tcW w:w="5987" w:type="dxa"/>
            <w:hideMark/>
          </w:tcPr>
          <w:p w14:paraId="23CE1FA7" w14:textId="77777777" w:rsidR="000871B4" w:rsidRPr="00CB0316" w:rsidRDefault="000871B4" w:rsidP="0009512E">
            <w:pPr>
              <w:suppressAutoHyphens/>
              <w:spacing w:line="288" w:lineRule="auto"/>
              <w:ind w:left="567" w:firstLine="1"/>
              <w:rPr>
                <w:rFonts w:ascii="Times New Roman" w:hAnsi="Times New Roman"/>
                <w:sz w:val="20"/>
                <w:szCs w:val="20"/>
              </w:rPr>
            </w:pPr>
            <w:r w:rsidRPr="00CB0316">
              <w:rPr>
                <w:rFonts w:ascii="Times New Roman" w:hAnsi="Times New Roman"/>
                <w:sz w:val="20"/>
                <w:szCs w:val="20"/>
              </w:rPr>
              <w:t>Wholesale Credit Portfolio</w:t>
            </w:r>
          </w:p>
        </w:tc>
        <w:tc>
          <w:tcPr>
            <w:tcW w:w="1667" w:type="dxa"/>
            <w:hideMark/>
          </w:tcPr>
          <w:p w14:paraId="35A114F9" w14:textId="77777777" w:rsidR="000871B4" w:rsidRPr="00CB0316" w:rsidRDefault="000871B4" w:rsidP="0009512E">
            <w:pPr>
              <w:suppressAutoHyphens/>
              <w:spacing w:line="288" w:lineRule="auto"/>
              <w:jc w:val="right"/>
              <w:rPr>
                <w:rFonts w:ascii="Times New Roman" w:hAnsi="Times New Roman"/>
                <w:sz w:val="20"/>
                <w:szCs w:val="20"/>
              </w:rPr>
            </w:pPr>
            <w:r w:rsidRPr="00CB0316">
              <w:rPr>
                <w:rFonts w:ascii="Times New Roman" w:hAnsi="Times New Roman"/>
                <w:sz w:val="20"/>
                <w:szCs w:val="20"/>
              </w:rPr>
              <w:t>Pages 70 to 82</w:t>
            </w:r>
          </w:p>
        </w:tc>
      </w:tr>
      <w:tr w:rsidR="00125818" w:rsidRPr="00CB0316" w14:paraId="05633C0F" w14:textId="77777777" w:rsidTr="00671ADE">
        <w:tc>
          <w:tcPr>
            <w:tcW w:w="959" w:type="dxa"/>
          </w:tcPr>
          <w:p w14:paraId="5F322927" w14:textId="77777777" w:rsidR="000871B4" w:rsidRPr="00CB0316" w:rsidRDefault="000871B4" w:rsidP="0009512E">
            <w:pPr>
              <w:rPr>
                <w:rFonts w:ascii="Times New Roman" w:hAnsi="Times New Roman"/>
                <w:sz w:val="20"/>
                <w:szCs w:val="20"/>
              </w:rPr>
            </w:pPr>
          </w:p>
        </w:tc>
        <w:tc>
          <w:tcPr>
            <w:tcW w:w="5987" w:type="dxa"/>
            <w:hideMark/>
          </w:tcPr>
          <w:p w14:paraId="2261B5E1" w14:textId="77777777" w:rsidR="000871B4" w:rsidRPr="00CB0316" w:rsidRDefault="000871B4" w:rsidP="0009512E">
            <w:pPr>
              <w:suppressAutoHyphens/>
              <w:spacing w:line="288" w:lineRule="auto"/>
              <w:ind w:left="567" w:firstLine="1"/>
              <w:rPr>
                <w:rFonts w:ascii="Times New Roman" w:hAnsi="Times New Roman"/>
                <w:sz w:val="20"/>
                <w:szCs w:val="20"/>
              </w:rPr>
            </w:pPr>
            <w:r w:rsidRPr="00CB0316">
              <w:rPr>
                <w:rFonts w:ascii="Times New Roman" w:hAnsi="Times New Roman"/>
                <w:sz w:val="20"/>
                <w:szCs w:val="20"/>
              </w:rPr>
              <w:t>Investment Portfolio Risk Management</w:t>
            </w:r>
          </w:p>
        </w:tc>
        <w:tc>
          <w:tcPr>
            <w:tcW w:w="1667" w:type="dxa"/>
            <w:hideMark/>
          </w:tcPr>
          <w:p w14:paraId="198B441E" w14:textId="77777777" w:rsidR="000871B4" w:rsidRPr="00CB0316" w:rsidRDefault="000871B4" w:rsidP="0009512E">
            <w:pPr>
              <w:suppressAutoHyphens/>
              <w:spacing w:line="288" w:lineRule="auto"/>
              <w:jc w:val="right"/>
              <w:rPr>
                <w:rFonts w:ascii="Times New Roman" w:hAnsi="Times New Roman"/>
                <w:sz w:val="20"/>
                <w:szCs w:val="20"/>
              </w:rPr>
            </w:pPr>
            <w:r w:rsidRPr="00CB0316">
              <w:rPr>
                <w:rFonts w:ascii="Times New Roman" w:hAnsi="Times New Roman"/>
                <w:sz w:val="20"/>
                <w:szCs w:val="20"/>
              </w:rPr>
              <w:t>Page 83</w:t>
            </w:r>
          </w:p>
        </w:tc>
      </w:tr>
      <w:tr w:rsidR="00125818" w:rsidRPr="00CB0316" w14:paraId="656409EF" w14:textId="77777777" w:rsidTr="00671ADE">
        <w:tc>
          <w:tcPr>
            <w:tcW w:w="959" w:type="dxa"/>
          </w:tcPr>
          <w:p w14:paraId="1D85D22E" w14:textId="77777777" w:rsidR="000871B4" w:rsidRPr="00CB0316" w:rsidRDefault="000871B4" w:rsidP="0009512E">
            <w:pPr>
              <w:rPr>
                <w:rFonts w:ascii="Times New Roman" w:hAnsi="Times New Roman"/>
                <w:sz w:val="20"/>
                <w:szCs w:val="20"/>
              </w:rPr>
            </w:pPr>
          </w:p>
        </w:tc>
        <w:tc>
          <w:tcPr>
            <w:tcW w:w="5987" w:type="dxa"/>
            <w:hideMark/>
          </w:tcPr>
          <w:p w14:paraId="31DD015C" w14:textId="77777777" w:rsidR="000871B4" w:rsidRPr="00CB0316" w:rsidRDefault="000871B4" w:rsidP="0009512E">
            <w:pPr>
              <w:suppressAutoHyphens/>
              <w:spacing w:line="288" w:lineRule="auto"/>
              <w:ind w:left="567" w:firstLine="1"/>
              <w:rPr>
                <w:rFonts w:ascii="Times New Roman" w:hAnsi="Times New Roman"/>
                <w:sz w:val="20"/>
                <w:szCs w:val="20"/>
              </w:rPr>
            </w:pPr>
            <w:r w:rsidRPr="00CB0316">
              <w:rPr>
                <w:rFonts w:ascii="Times New Roman" w:hAnsi="Times New Roman"/>
                <w:sz w:val="20"/>
                <w:szCs w:val="20"/>
              </w:rPr>
              <w:t>Market Risk Management</w:t>
            </w:r>
          </w:p>
        </w:tc>
        <w:tc>
          <w:tcPr>
            <w:tcW w:w="1667" w:type="dxa"/>
            <w:hideMark/>
          </w:tcPr>
          <w:p w14:paraId="0689E750" w14:textId="77777777" w:rsidR="000871B4" w:rsidRPr="00CB0316" w:rsidRDefault="000871B4" w:rsidP="0009512E">
            <w:pPr>
              <w:suppressAutoHyphens/>
              <w:spacing w:line="288" w:lineRule="auto"/>
              <w:jc w:val="right"/>
              <w:rPr>
                <w:rFonts w:ascii="Times New Roman" w:hAnsi="Times New Roman"/>
                <w:sz w:val="20"/>
                <w:szCs w:val="20"/>
              </w:rPr>
            </w:pPr>
            <w:r w:rsidRPr="00CB0316">
              <w:rPr>
                <w:rFonts w:ascii="Times New Roman" w:hAnsi="Times New Roman"/>
                <w:sz w:val="20"/>
                <w:szCs w:val="20"/>
              </w:rPr>
              <w:t>Pages 84 to 89</w:t>
            </w:r>
          </w:p>
        </w:tc>
      </w:tr>
      <w:tr w:rsidR="00125818" w:rsidRPr="00CB0316" w14:paraId="1C0060D1" w14:textId="77777777" w:rsidTr="00671ADE">
        <w:tc>
          <w:tcPr>
            <w:tcW w:w="959" w:type="dxa"/>
          </w:tcPr>
          <w:p w14:paraId="69C57AE3" w14:textId="77777777" w:rsidR="000871B4" w:rsidRPr="00CB0316" w:rsidRDefault="000871B4" w:rsidP="0009512E">
            <w:pPr>
              <w:rPr>
                <w:rFonts w:ascii="Times New Roman" w:hAnsi="Times New Roman"/>
                <w:sz w:val="20"/>
                <w:szCs w:val="20"/>
              </w:rPr>
            </w:pPr>
          </w:p>
        </w:tc>
        <w:tc>
          <w:tcPr>
            <w:tcW w:w="5987" w:type="dxa"/>
            <w:hideMark/>
          </w:tcPr>
          <w:p w14:paraId="58084163" w14:textId="77777777" w:rsidR="000871B4" w:rsidRPr="00CB0316" w:rsidRDefault="000871B4" w:rsidP="0009512E">
            <w:pPr>
              <w:suppressAutoHyphens/>
              <w:spacing w:line="288" w:lineRule="auto"/>
              <w:ind w:left="567" w:firstLine="1"/>
              <w:rPr>
                <w:rFonts w:ascii="Times New Roman" w:hAnsi="Times New Roman"/>
                <w:sz w:val="20"/>
                <w:szCs w:val="20"/>
              </w:rPr>
            </w:pPr>
            <w:r w:rsidRPr="00CB0316">
              <w:rPr>
                <w:rFonts w:ascii="Times New Roman" w:hAnsi="Times New Roman"/>
                <w:sz w:val="20"/>
                <w:szCs w:val="20"/>
              </w:rPr>
              <w:t>Country Risk Management</w:t>
            </w:r>
          </w:p>
        </w:tc>
        <w:tc>
          <w:tcPr>
            <w:tcW w:w="1667" w:type="dxa"/>
            <w:hideMark/>
          </w:tcPr>
          <w:p w14:paraId="4FC15485" w14:textId="77777777" w:rsidR="000871B4" w:rsidRPr="00CB0316" w:rsidRDefault="000871B4" w:rsidP="0009512E">
            <w:pPr>
              <w:suppressAutoHyphens/>
              <w:spacing w:line="288" w:lineRule="auto"/>
              <w:jc w:val="right"/>
              <w:rPr>
                <w:rFonts w:ascii="Times New Roman" w:hAnsi="Times New Roman"/>
                <w:sz w:val="20"/>
                <w:szCs w:val="20"/>
              </w:rPr>
            </w:pPr>
            <w:r w:rsidRPr="00CB0316">
              <w:rPr>
                <w:rFonts w:ascii="Times New Roman" w:hAnsi="Times New Roman"/>
                <w:sz w:val="20"/>
                <w:szCs w:val="20"/>
              </w:rPr>
              <w:t>Page 90</w:t>
            </w:r>
          </w:p>
        </w:tc>
      </w:tr>
      <w:tr w:rsidR="00125818" w:rsidRPr="00CB0316" w14:paraId="73C7E424" w14:textId="77777777" w:rsidTr="00671ADE">
        <w:tc>
          <w:tcPr>
            <w:tcW w:w="959" w:type="dxa"/>
          </w:tcPr>
          <w:p w14:paraId="5C548B5A" w14:textId="77777777" w:rsidR="000871B4" w:rsidRPr="00CB0316" w:rsidRDefault="000871B4" w:rsidP="0009512E">
            <w:pPr>
              <w:rPr>
                <w:rFonts w:ascii="Times New Roman" w:hAnsi="Times New Roman"/>
                <w:sz w:val="20"/>
                <w:szCs w:val="20"/>
              </w:rPr>
            </w:pPr>
          </w:p>
        </w:tc>
        <w:tc>
          <w:tcPr>
            <w:tcW w:w="5987" w:type="dxa"/>
            <w:hideMark/>
          </w:tcPr>
          <w:p w14:paraId="3272F082" w14:textId="77777777" w:rsidR="000871B4" w:rsidRPr="00CB0316" w:rsidRDefault="000871B4" w:rsidP="0009512E">
            <w:pPr>
              <w:pStyle w:val="NormalAshurst"/>
              <w:spacing w:after="0" w:line="288" w:lineRule="auto"/>
              <w:ind w:left="284"/>
              <w:rPr>
                <w:rFonts w:ascii="Times New Roman" w:hAnsi="Times New Roman" w:cs="Times New Roman"/>
                <w:sz w:val="20"/>
                <w:szCs w:val="20"/>
              </w:rPr>
            </w:pPr>
            <w:r w:rsidRPr="00CB0316">
              <w:rPr>
                <w:rFonts w:ascii="Times New Roman" w:hAnsi="Times New Roman" w:cs="Times New Roman"/>
                <w:sz w:val="20"/>
                <w:szCs w:val="20"/>
              </w:rPr>
              <w:t>Critical Accounting Estimates Used by the Firm</w:t>
            </w:r>
          </w:p>
        </w:tc>
        <w:tc>
          <w:tcPr>
            <w:tcW w:w="1667" w:type="dxa"/>
            <w:hideMark/>
          </w:tcPr>
          <w:p w14:paraId="7E818BE1" w14:textId="77777777" w:rsidR="000871B4" w:rsidRPr="00CB0316" w:rsidRDefault="000871B4" w:rsidP="0009512E">
            <w:pPr>
              <w:suppressAutoHyphens/>
              <w:spacing w:line="288" w:lineRule="auto"/>
              <w:jc w:val="right"/>
              <w:rPr>
                <w:rFonts w:ascii="Times New Roman" w:hAnsi="Times New Roman"/>
                <w:sz w:val="20"/>
                <w:szCs w:val="20"/>
              </w:rPr>
            </w:pPr>
            <w:r w:rsidRPr="00CB0316">
              <w:rPr>
                <w:rFonts w:ascii="Times New Roman" w:hAnsi="Times New Roman"/>
                <w:sz w:val="20"/>
                <w:szCs w:val="20"/>
              </w:rPr>
              <w:t>Pages 91 to 93</w:t>
            </w:r>
          </w:p>
        </w:tc>
      </w:tr>
      <w:tr w:rsidR="00125818" w:rsidRPr="00CB0316" w14:paraId="00648573" w14:textId="77777777" w:rsidTr="00671ADE">
        <w:tc>
          <w:tcPr>
            <w:tcW w:w="959" w:type="dxa"/>
          </w:tcPr>
          <w:p w14:paraId="187A3859" w14:textId="77777777" w:rsidR="000871B4" w:rsidRPr="00CB0316" w:rsidRDefault="000871B4" w:rsidP="0009512E">
            <w:pPr>
              <w:rPr>
                <w:rFonts w:ascii="Times New Roman" w:hAnsi="Times New Roman"/>
                <w:sz w:val="20"/>
                <w:szCs w:val="20"/>
              </w:rPr>
            </w:pPr>
          </w:p>
        </w:tc>
        <w:tc>
          <w:tcPr>
            <w:tcW w:w="5987" w:type="dxa"/>
            <w:hideMark/>
          </w:tcPr>
          <w:p w14:paraId="23D07F42" w14:textId="77777777" w:rsidR="000871B4" w:rsidRPr="00CB0316" w:rsidRDefault="000871B4" w:rsidP="0009512E">
            <w:pPr>
              <w:pStyle w:val="NormalAshurst"/>
              <w:spacing w:after="0" w:line="288" w:lineRule="auto"/>
              <w:ind w:left="284"/>
              <w:rPr>
                <w:rFonts w:ascii="Times New Roman" w:hAnsi="Times New Roman" w:cs="Times New Roman"/>
                <w:sz w:val="20"/>
                <w:szCs w:val="20"/>
              </w:rPr>
            </w:pPr>
            <w:r w:rsidRPr="00CB0316">
              <w:rPr>
                <w:rFonts w:ascii="Times New Roman" w:hAnsi="Times New Roman" w:cs="Times New Roman"/>
                <w:sz w:val="20"/>
                <w:szCs w:val="20"/>
              </w:rPr>
              <w:t>Accounting and Reporting Developments</w:t>
            </w:r>
          </w:p>
        </w:tc>
        <w:tc>
          <w:tcPr>
            <w:tcW w:w="1667" w:type="dxa"/>
            <w:hideMark/>
          </w:tcPr>
          <w:p w14:paraId="10AEC10D" w14:textId="77777777" w:rsidR="000871B4" w:rsidRPr="00CB0316" w:rsidRDefault="000871B4" w:rsidP="0009512E">
            <w:pPr>
              <w:suppressAutoHyphens/>
              <w:spacing w:line="288" w:lineRule="auto"/>
              <w:jc w:val="right"/>
              <w:rPr>
                <w:rFonts w:ascii="Times New Roman" w:hAnsi="Times New Roman"/>
                <w:sz w:val="20"/>
                <w:szCs w:val="20"/>
              </w:rPr>
            </w:pPr>
            <w:r w:rsidRPr="00CB0316">
              <w:rPr>
                <w:rFonts w:ascii="Times New Roman" w:hAnsi="Times New Roman"/>
                <w:sz w:val="20"/>
                <w:szCs w:val="20"/>
              </w:rPr>
              <w:t>Page 94</w:t>
            </w:r>
          </w:p>
        </w:tc>
      </w:tr>
      <w:tr w:rsidR="00125818" w:rsidRPr="00CB0316" w14:paraId="572AB352" w14:textId="77777777" w:rsidTr="00671ADE">
        <w:tc>
          <w:tcPr>
            <w:tcW w:w="959" w:type="dxa"/>
          </w:tcPr>
          <w:p w14:paraId="376CFC55" w14:textId="77777777" w:rsidR="000871B4" w:rsidRPr="00CB0316" w:rsidRDefault="000871B4" w:rsidP="0009512E">
            <w:pPr>
              <w:rPr>
                <w:rFonts w:ascii="Times New Roman" w:hAnsi="Times New Roman"/>
                <w:sz w:val="20"/>
                <w:szCs w:val="20"/>
              </w:rPr>
            </w:pPr>
          </w:p>
        </w:tc>
        <w:tc>
          <w:tcPr>
            <w:tcW w:w="5987" w:type="dxa"/>
            <w:hideMark/>
          </w:tcPr>
          <w:p w14:paraId="6B1911B5" w14:textId="77777777" w:rsidR="000871B4" w:rsidRPr="00CB0316" w:rsidRDefault="000871B4" w:rsidP="0009512E">
            <w:pPr>
              <w:pStyle w:val="NormalAshurst"/>
              <w:spacing w:after="0" w:line="288" w:lineRule="auto"/>
              <w:ind w:left="284"/>
              <w:rPr>
                <w:rFonts w:ascii="Times New Roman" w:hAnsi="Times New Roman" w:cs="Times New Roman"/>
                <w:sz w:val="20"/>
                <w:szCs w:val="20"/>
              </w:rPr>
            </w:pPr>
            <w:r w:rsidRPr="00CB0316">
              <w:rPr>
                <w:rFonts w:ascii="Times New Roman" w:hAnsi="Times New Roman" w:cs="Times New Roman"/>
                <w:sz w:val="20"/>
                <w:szCs w:val="20"/>
              </w:rPr>
              <w:t>Forward-Looking Statements</w:t>
            </w:r>
          </w:p>
        </w:tc>
        <w:tc>
          <w:tcPr>
            <w:tcW w:w="1667" w:type="dxa"/>
            <w:hideMark/>
          </w:tcPr>
          <w:p w14:paraId="3BC93BE0" w14:textId="77777777" w:rsidR="000871B4" w:rsidRPr="00CB0316" w:rsidRDefault="000871B4" w:rsidP="0009512E">
            <w:pPr>
              <w:suppressAutoHyphens/>
              <w:spacing w:line="288" w:lineRule="auto"/>
              <w:jc w:val="right"/>
              <w:rPr>
                <w:rFonts w:ascii="Times New Roman" w:hAnsi="Times New Roman"/>
                <w:sz w:val="20"/>
                <w:szCs w:val="20"/>
              </w:rPr>
            </w:pPr>
            <w:r w:rsidRPr="00CB0316">
              <w:rPr>
                <w:rFonts w:ascii="Times New Roman" w:hAnsi="Times New Roman"/>
                <w:sz w:val="20"/>
                <w:szCs w:val="20"/>
              </w:rPr>
              <w:t>Page 95</w:t>
            </w:r>
          </w:p>
        </w:tc>
      </w:tr>
      <w:tr w:rsidR="00125818" w:rsidRPr="00CB0316" w14:paraId="5739A414" w14:textId="77777777" w:rsidTr="00671ADE">
        <w:tc>
          <w:tcPr>
            <w:tcW w:w="959" w:type="dxa"/>
            <w:hideMark/>
          </w:tcPr>
          <w:p w14:paraId="61CA6B09" w14:textId="77777777" w:rsidR="000871B4" w:rsidRPr="00CB0316" w:rsidRDefault="000871B4" w:rsidP="0009512E">
            <w:pPr>
              <w:pStyle w:val="NormalAshurst"/>
              <w:spacing w:after="0" w:line="288" w:lineRule="auto"/>
              <w:rPr>
                <w:rFonts w:ascii="Times New Roman" w:hAnsi="Times New Roman" w:cs="Times New Roman"/>
                <w:sz w:val="20"/>
                <w:szCs w:val="20"/>
              </w:rPr>
            </w:pPr>
            <w:r w:rsidRPr="00CB0316">
              <w:rPr>
                <w:rFonts w:ascii="Times New Roman" w:hAnsi="Times New Roman" w:cs="Times New Roman"/>
                <w:sz w:val="20"/>
                <w:szCs w:val="20"/>
              </w:rPr>
              <w:t>Item 3.</w:t>
            </w:r>
          </w:p>
        </w:tc>
        <w:tc>
          <w:tcPr>
            <w:tcW w:w="5987" w:type="dxa"/>
            <w:hideMark/>
          </w:tcPr>
          <w:p w14:paraId="2D79200C" w14:textId="77777777" w:rsidR="000871B4" w:rsidRPr="00CB0316" w:rsidRDefault="000871B4" w:rsidP="0009512E">
            <w:pPr>
              <w:pStyle w:val="NormalAshurst"/>
              <w:spacing w:after="0" w:line="288" w:lineRule="auto"/>
              <w:rPr>
                <w:rFonts w:ascii="Times New Roman" w:hAnsi="Times New Roman" w:cs="Times New Roman"/>
                <w:sz w:val="20"/>
                <w:szCs w:val="20"/>
              </w:rPr>
            </w:pPr>
            <w:r w:rsidRPr="00CB0316">
              <w:rPr>
                <w:rFonts w:ascii="Times New Roman" w:hAnsi="Times New Roman" w:cs="Times New Roman"/>
                <w:sz w:val="20"/>
                <w:szCs w:val="20"/>
              </w:rPr>
              <w:t>Quantitative and Qualitative Disclosures about Market Risk.</w:t>
            </w:r>
          </w:p>
        </w:tc>
        <w:tc>
          <w:tcPr>
            <w:tcW w:w="1667" w:type="dxa"/>
            <w:hideMark/>
          </w:tcPr>
          <w:p w14:paraId="1ACF35CB" w14:textId="77777777" w:rsidR="000871B4" w:rsidRPr="00CB0316" w:rsidRDefault="000871B4" w:rsidP="0009512E">
            <w:pPr>
              <w:suppressAutoHyphens/>
              <w:spacing w:line="288" w:lineRule="auto"/>
              <w:jc w:val="right"/>
              <w:rPr>
                <w:rFonts w:ascii="Times New Roman" w:hAnsi="Times New Roman"/>
                <w:sz w:val="20"/>
                <w:szCs w:val="20"/>
              </w:rPr>
            </w:pPr>
            <w:r w:rsidRPr="00CB0316">
              <w:rPr>
                <w:rFonts w:ascii="Times New Roman" w:hAnsi="Times New Roman"/>
                <w:sz w:val="20"/>
                <w:szCs w:val="20"/>
              </w:rPr>
              <w:t>Page 209</w:t>
            </w:r>
          </w:p>
        </w:tc>
      </w:tr>
      <w:tr w:rsidR="00125818" w:rsidRPr="00CB0316" w14:paraId="43F8D262" w14:textId="77777777" w:rsidTr="00671ADE">
        <w:tc>
          <w:tcPr>
            <w:tcW w:w="959" w:type="dxa"/>
            <w:hideMark/>
          </w:tcPr>
          <w:p w14:paraId="7236BBDC" w14:textId="77777777" w:rsidR="000871B4" w:rsidRPr="00CB0316" w:rsidRDefault="000871B4" w:rsidP="0009512E">
            <w:pPr>
              <w:pStyle w:val="NormalAshurst"/>
              <w:spacing w:after="0" w:line="288" w:lineRule="auto"/>
              <w:rPr>
                <w:rFonts w:ascii="Times New Roman" w:hAnsi="Times New Roman" w:cs="Times New Roman"/>
                <w:sz w:val="20"/>
                <w:szCs w:val="20"/>
              </w:rPr>
            </w:pPr>
            <w:r w:rsidRPr="00CB0316">
              <w:rPr>
                <w:rFonts w:ascii="Times New Roman" w:hAnsi="Times New Roman" w:cs="Times New Roman"/>
                <w:sz w:val="20"/>
                <w:szCs w:val="20"/>
              </w:rPr>
              <w:t>Item 4.</w:t>
            </w:r>
          </w:p>
        </w:tc>
        <w:tc>
          <w:tcPr>
            <w:tcW w:w="5987" w:type="dxa"/>
            <w:hideMark/>
          </w:tcPr>
          <w:p w14:paraId="38D1D631" w14:textId="77777777" w:rsidR="000871B4" w:rsidRPr="00CB0316" w:rsidRDefault="000871B4" w:rsidP="0009512E">
            <w:pPr>
              <w:pStyle w:val="NormalAshurst"/>
              <w:spacing w:after="0" w:line="288" w:lineRule="auto"/>
              <w:rPr>
                <w:rFonts w:ascii="Times New Roman" w:hAnsi="Times New Roman" w:cs="Times New Roman"/>
                <w:sz w:val="20"/>
                <w:szCs w:val="20"/>
              </w:rPr>
            </w:pPr>
            <w:r w:rsidRPr="00CB0316">
              <w:rPr>
                <w:rFonts w:ascii="Times New Roman" w:hAnsi="Times New Roman" w:cs="Times New Roman"/>
                <w:sz w:val="20"/>
                <w:szCs w:val="20"/>
              </w:rPr>
              <w:t>Controls and Procedures.</w:t>
            </w:r>
          </w:p>
        </w:tc>
        <w:tc>
          <w:tcPr>
            <w:tcW w:w="1667" w:type="dxa"/>
            <w:hideMark/>
          </w:tcPr>
          <w:p w14:paraId="6512E599" w14:textId="77777777" w:rsidR="000871B4" w:rsidRPr="00CB0316" w:rsidRDefault="000871B4" w:rsidP="0009512E">
            <w:pPr>
              <w:suppressAutoHyphens/>
              <w:spacing w:line="288" w:lineRule="auto"/>
              <w:jc w:val="right"/>
              <w:rPr>
                <w:rFonts w:ascii="Times New Roman" w:hAnsi="Times New Roman"/>
                <w:sz w:val="20"/>
                <w:szCs w:val="20"/>
              </w:rPr>
            </w:pPr>
            <w:r w:rsidRPr="00CB0316">
              <w:rPr>
                <w:rFonts w:ascii="Times New Roman" w:hAnsi="Times New Roman"/>
                <w:sz w:val="20"/>
                <w:szCs w:val="20"/>
              </w:rPr>
              <w:t>Page 209</w:t>
            </w:r>
          </w:p>
        </w:tc>
      </w:tr>
      <w:tr w:rsidR="00125818" w:rsidRPr="00CB0316" w14:paraId="1F049ABC" w14:textId="77777777" w:rsidTr="00671ADE">
        <w:tc>
          <w:tcPr>
            <w:tcW w:w="6946" w:type="dxa"/>
            <w:gridSpan w:val="2"/>
            <w:hideMark/>
          </w:tcPr>
          <w:p w14:paraId="731F5B4A" w14:textId="77777777" w:rsidR="000871B4" w:rsidRPr="00CB0316" w:rsidRDefault="000871B4" w:rsidP="0009512E">
            <w:pPr>
              <w:pStyle w:val="NormalAshurst"/>
              <w:spacing w:after="0" w:line="288" w:lineRule="auto"/>
              <w:rPr>
                <w:rFonts w:ascii="Times New Roman" w:hAnsi="Times New Roman" w:cs="Times New Roman"/>
                <w:sz w:val="20"/>
                <w:szCs w:val="20"/>
              </w:rPr>
            </w:pPr>
            <w:r w:rsidRPr="00CB0316">
              <w:rPr>
                <w:rFonts w:ascii="Times New Roman" w:hAnsi="Times New Roman" w:cs="Times New Roman"/>
                <w:sz w:val="20"/>
                <w:szCs w:val="20"/>
              </w:rPr>
              <w:t>Part II - Other Information</w:t>
            </w:r>
          </w:p>
        </w:tc>
        <w:tc>
          <w:tcPr>
            <w:tcW w:w="1667" w:type="dxa"/>
          </w:tcPr>
          <w:p w14:paraId="14FE0EA3" w14:textId="77777777" w:rsidR="000871B4" w:rsidRPr="00CB0316" w:rsidRDefault="000871B4" w:rsidP="0009512E">
            <w:pPr>
              <w:suppressAutoHyphens/>
              <w:spacing w:line="288" w:lineRule="auto"/>
              <w:jc w:val="right"/>
              <w:rPr>
                <w:rFonts w:ascii="Times New Roman" w:hAnsi="Times New Roman"/>
                <w:sz w:val="20"/>
                <w:szCs w:val="20"/>
              </w:rPr>
            </w:pPr>
          </w:p>
        </w:tc>
      </w:tr>
      <w:tr w:rsidR="00125818" w:rsidRPr="00CB0316" w14:paraId="5DEC2340" w14:textId="77777777" w:rsidTr="00671ADE">
        <w:tc>
          <w:tcPr>
            <w:tcW w:w="959" w:type="dxa"/>
            <w:hideMark/>
          </w:tcPr>
          <w:p w14:paraId="77D6FA1C" w14:textId="77777777" w:rsidR="000871B4" w:rsidRPr="00CB0316" w:rsidRDefault="000871B4" w:rsidP="0009512E">
            <w:pPr>
              <w:pStyle w:val="NormalAshurst"/>
              <w:spacing w:after="0" w:line="288" w:lineRule="auto"/>
              <w:rPr>
                <w:rFonts w:ascii="Times New Roman" w:hAnsi="Times New Roman" w:cs="Times New Roman"/>
                <w:sz w:val="20"/>
                <w:szCs w:val="20"/>
              </w:rPr>
            </w:pPr>
            <w:r w:rsidRPr="00CB0316">
              <w:rPr>
                <w:rFonts w:ascii="Times New Roman" w:hAnsi="Times New Roman" w:cs="Times New Roman"/>
                <w:sz w:val="20"/>
                <w:szCs w:val="20"/>
              </w:rPr>
              <w:t>Item 1.</w:t>
            </w:r>
          </w:p>
        </w:tc>
        <w:tc>
          <w:tcPr>
            <w:tcW w:w="5987" w:type="dxa"/>
            <w:hideMark/>
          </w:tcPr>
          <w:p w14:paraId="0D45EE80" w14:textId="77777777" w:rsidR="000871B4" w:rsidRPr="00CB0316" w:rsidRDefault="000871B4" w:rsidP="0009512E">
            <w:pPr>
              <w:pStyle w:val="NormalAshurst"/>
              <w:spacing w:after="0" w:line="288" w:lineRule="auto"/>
              <w:rPr>
                <w:rFonts w:ascii="Times New Roman" w:hAnsi="Times New Roman" w:cs="Times New Roman"/>
                <w:sz w:val="20"/>
                <w:szCs w:val="20"/>
              </w:rPr>
            </w:pPr>
            <w:r w:rsidRPr="00CB0316">
              <w:rPr>
                <w:rFonts w:ascii="Times New Roman" w:hAnsi="Times New Roman" w:cs="Times New Roman"/>
                <w:sz w:val="20"/>
                <w:szCs w:val="20"/>
              </w:rPr>
              <w:t>Legal Proceedings.</w:t>
            </w:r>
          </w:p>
        </w:tc>
        <w:tc>
          <w:tcPr>
            <w:tcW w:w="1667" w:type="dxa"/>
            <w:hideMark/>
          </w:tcPr>
          <w:p w14:paraId="4EDB4E62" w14:textId="77777777" w:rsidR="000871B4" w:rsidRPr="00CB0316" w:rsidRDefault="000871B4" w:rsidP="0009512E">
            <w:pPr>
              <w:suppressAutoHyphens/>
              <w:spacing w:line="288" w:lineRule="auto"/>
              <w:jc w:val="right"/>
              <w:rPr>
                <w:rFonts w:ascii="Times New Roman" w:hAnsi="Times New Roman"/>
                <w:sz w:val="20"/>
                <w:szCs w:val="20"/>
              </w:rPr>
            </w:pPr>
            <w:r w:rsidRPr="00CB0316">
              <w:rPr>
                <w:rFonts w:ascii="Times New Roman" w:hAnsi="Times New Roman"/>
                <w:sz w:val="20"/>
                <w:szCs w:val="20"/>
              </w:rPr>
              <w:t>Page 209</w:t>
            </w:r>
          </w:p>
        </w:tc>
      </w:tr>
      <w:tr w:rsidR="00125818" w:rsidRPr="00CB0316" w14:paraId="75CF6F2E" w14:textId="77777777" w:rsidTr="00671ADE">
        <w:tc>
          <w:tcPr>
            <w:tcW w:w="959" w:type="dxa"/>
          </w:tcPr>
          <w:p w14:paraId="12514029" w14:textId="77777777" w:rsidR="000871B4" w:rsidRPr="00CB0316" w:rsidRDefault="000871B4" w:rsidP="0009512E">
            <w:pPr>
              <w:pStyle w:val="NormalAshurst"/>
              <w:spacing w:after="0" w:line="288" w:lineRule="auto"/>
              <w:rPr>
                <w:rFonts w:ascii="Times New Roman" w:hAnsi="Times New Roman" w:cs="Times New Roman"/>
                <w:sz w:val="20"/>
                <w:szCs w:val="20"/>
              </w:rPr>
            </w:pPr>
            <w:r w:rsidRPr="00CB0316">
              <w:rPr>
                <w:rFonts w:ascii="Times New Roman" w:hAnsi="Times New Roman" w:cs="Times New Roman"/>
                <w:sz w:val="20"/>
                <w:szCs w:val="20"/>
              </w:rPr>
              <w:t xml:space="preserve">Item </w:t>
            </w:r>
            <w:proofErr w:type="spellStart"/>
            <w:r w:rsidRPr="00CB0316">
              <w:rPr>
                <w:rFonts w:ascii="Times New Roman" w:hAnsi="Times New Roman" w:cs="Times New Roman"/>
                <w:sz w:val="20"/>
                <w:szCs w:val="20"/>
              </w:rPr>
              <w:t>1A</w:t>
            </w:r>
            <w:proofErr w:type="spellEnd"/>
            <w:r w:rsidRPr="00CB0316">
              <w:rPr>
                <w:rFonts w:ascii="Times New Roman" w:hAnsi="Times New Roman" w:cs="Times New Roman"/>
                <w:sz w:val="20"/>
                <w:szCs w:val="20"/>
              </w:rPr>
              <w:t>.</w:t>
            </w:r>
          </w:p>
        </w:tc>
        <w:tc>
          <w:tcPr>
            <w:tcW w:w="5987" w:type="dxa"/>
          </w:tcPr>
          <w:p w14:paraId="52172987" w14:textId="77777777" w:rsidR="000871B4" w:rsidRPr="00CB0316" w:rsidRDefault="000871B4" w:rsidP="0009512E">
            <w:pPr>
              <w:pStyle w:val="NormalAshurst"/>
              <w:spacing w:after="0" w:line="288" w:lineRule="auto"/>
              <w:rPr>
                <w:rFonts w:ascii="Times New Roman" w:hAnsi="Times New Roman" w:cs="Times New Roman"/>
                <w:sz w:val="20"/>
                <w:szCs w:val="20"/>
              </w:rPr>
            </w:pPr>
            <w:r w:rsidRPr="00CB0316">
              <w:rPr>
                <w:rFonts w:ascii="Times New Roman" w:hAnsi="Times New Roman" w:cs="Times New Roman"/>
                <w:sz w:val="20"/>
                <w:szCs w:val="20"/>
              </w:rPr>
              <w:t>Risk Factors.</w:t>
            </w:r>
          </w:p>
        </w:tc>
        <w:tc>
          <w:tcPr>
            <w:tcW w:w="1667" w:type="dxa"/>
          </w:tcPr>
          <w:p w14:paraId="5DA10891" w14:textId="77777777" w:rsidR="000871B4" w:rsidRPr="00CB0316" w:rsidRDefault="000871B4" w:rsidP="0009512E">
            <w:pPr>
              <w:suppressAutoHyphens/>
              <w:spacing w:line="288" w:lineRule="auto"/>
              <w:jc w:val="right"/>
              <w:rPr>
                <w:rFonts w:ascii="Times New Roman" w:hAnsi="Times New Roman"/>
                <w:sz w:val="20"/>
                <w:szCs w:val="20"/>
              </w:rPr>
            </w:pPr>
            <w:r w:rsidRPr="00CB0316">
              <w:rPr>
                <w:rFonts w:ascii="Times New Roman" w:hAnsi="Times New Roman"/>
                <w:sz w:val="20"/>
                <w:szCs w:val="20"/>
              </w:rPr>
              <w:t>Page 209</w:t>
            </w:r>
          </w:p>
        </w:tc>
      </w:tr>
      <w:tr w:rsidR="00125818" w:rsidRPr="00CB0316" w14:paraId="2726BA37" w14:textId="77777777" w:rsidTr="00671ADE">
        <w:tc>
          <w:tcPr>
            <w:tcW w:w="959" w:type="dxa"/>
            <w:hideMark/>
          </w:tcPr>
          <w:p w14:paraId="793BABE3" w14:textId="77777777" w:rsidR="000871B4" w:rsidRPr="00CB0316" w:rsidRDefault="000871B4" w:rsidP="0009512E">
            <w:pPr>
              <w:pStyle w:val="NormalAshurst"/>
              <w:spacing w:after="0" w:line="288" w:lineRule="auto"/>
              <w:rPr>
                <w:rFonts w:ascii="Times New Roman" w:hAnsi="Times New Roman" w:cs="Times New Roman"/>
                <w:sz w:val="20"/>
                <w:szCs w:val="20"/>
              </w:rPr>
            </w:pPr>
            <w:r w:rsidRPr="00CB0316">
              <w:rPr>
                <w:rFonts w:ascii="Times New Roman" w:hAnsi="Times New Roman" w:cs="Times New Roman"/>
                <w:sz w:val="20"/>
                <w:szCs w:val="20"/>
              </w:rPr>
              <w:t>Item 2.</w:t>
            </w:r>
          </w:p>
        </w:tc>
        <w:tc>
          <w:tcPr>
            <w:tcW w:w="5987" w:type="dxa"/>
            <w:hideMark/>
          </w:tcPr>
          <w:p w14:paraId="013E14C3" w14:textId="77777777" w:rsidR="000871B4" w:rsidRPr="00CB0316" w:rsidRDefault="000871B4" w:rsidP="0009512E">
            <w:pPr>
              <w:pStyle w:val="NormalAshurst"/>
              <w:spacing w:after="0" w:line="288" w:lineRule="auto"/>
              <w:rPr>
                <w:rFonts w:ascii="Times New Roman" w:hAnsi="Times New Roman" w:cs="Times New Roman"/>
                <w:sz w:val="20"/>
                <w:szCs w:val="20"/>
              </w:rPr>
            </w:pPr>
            <w:r w:rsidRPr="00CB0316">
              <w:rPr>
                <w:rFonts w:ascii="Times New Roman" w:hAnsi="Times New Roman" w:cs="Times New Roman"/>
                <w:sz w:val="20"/>
                <w:szCs w:val="20"/>
              </w:rPr>
              <w:t>Unregistered Sales of Equity Securities and Use of Proceeds.</w:t>
            </w:r>
          </w:p>
        </w:tc>
        <w:tc>
          <w:tcPr>
            <w:tcW w:w="1667" w:type="dxa"/>
            <w:hideMark/>
          </w:tcPr>
          <w:p w14:paraId="45AF2287" w14:textId="77777777" w:rsidR="000871B4" w:rsidRPr="00CB0316" w:rsidRDefault="000871B4" w:rsidP="0009512E">
            <w:pPr>
              <w:suppressAutoHyphens/>
              <w:spacing w:line="288" w:lineRule="auto"/>
              <w:jc w:val="right"/>
              <w:rPr>
                <w:rFonts w:ascii="Times New Roman" w:hAnsi="Times New Roman"/>
                <w:sz w:val="20"/>
                <w:szCs w:val="20"/>
              </w:rPr>
            </w:pPr>
            <w:r w:rsidRPr="00CB0316">
              <w:rPr>
                <w:rFonts w:ascii="Times New Roman" w:hAnsi="Times New Roman"/>
                <w:sz w:val="20"/>
                <w:szCs w:val="20"/>
              </w:rPr>
              <w:t>Pages 209 to 210</w:t>
            </w:r>
          </w:p>
        </w:tc>
      </w:tr>
      <w:tr w:rsidR="00125818" w:rsidRPr="00CB0316" w14:paraId="2A4DA59B" w14:textId="77777777" w:rsidTr="00671ADE">
        <w:tc>
          <w:tcPr>
            <w:tcW w:w="959" w:type="dxa"/>
            <w:hideMark/>
          </w:tcPr>
          <w:p w14:paraId="41E0390E" w14:textId="77777777" w:rsidR="000871B4" w:rsidRPr="00CB0316" w:rsidRDefault="000871B4" w:rsidP="0009512E">
            <w:pPr>
              <w:pStyle w:val="NormalAshurst"/>
              <w:spacing w:after="0" w:line="288" w:lineRule="auto"/>
              <w:rPr>
                <w:rFonts w:ascii="Times New Roman" w:hAnsi="Times New Roman" w:cs="Times New Roman"/>
                <w:sz w:val="20"/>
                <w:szCs w:val="20"/>
              </w:rPr>
            </w:pPr>
            <w:r w:rsidRPr="00CB0316">
              <w:rPr>
                <w:rFonts w:ascii="Times New Roman" w:hAnsi="Times New Roman" w:cs="Times New Roman"/>
                <w:sz w:val="20"/>
                <w:szCs w:val="20"/>
              </w:rPr>
              <w:t>Item 3.</w:t>
            </w:r>
          </w:p>
        </w:tc>
        <w:tc>
          <w:tcPr>
            <w:tcW w:w="5987" w:type="dxa"/>
            <w:hideMark/>
          </w:tcPr>
          <w:p w14:paraId="51F99C3C" w14:textId="77777777" w:rsidR="000871B4" w:rsidRPr="00CB0316" w:rsidRDefault="000871B4" w:rsidP="0009512E">
            <w:pPr>
              <w:pStyle w:val="NormalAshurst"/>
              <w:spacing w:after="0" w:line="288" w:lineRule="auto"/>
              <w:rPr>
                <w:rFonts w:ascii="Times New Roman" w:hAnsi="Times New Roman" w:cs="Times New Roman"/>
                <w:sz w:val="20"/>
                <w:szCs w:val="20"/>
              </w:rPr>
            </w:pPr>
            <w:r w:rsidRPr="00CB0316">
              <w:rPr>
                <w:rFonts w:ascii="Times New Roman" w:hAnsi="Times New Roman" w:cs="Times New Roman"/>
                <w:sz w:val="20"/>
                <w:szCs w:val="20"/>
              </w:rPr>
              <w:t>Defaults Upon Senior Securities.</w:t>
            </w:r>
          </w:p>
        </w:tc>
        <w:tc>
          <w:tcPr>
            <w:tcW w:w="1667" w:type="dxa"/>
            <w:hideMark/>
          </w:tcPr>
          <w:p w14:paraId="6FEB94F1" w14:textId="77777777" w:rsidR="000871B4" w:rsidRPr="00CB0316" w:rsidRDefault="000871B4" w:rsidP="0009512E">
            <w:pPr>
              <w:suppressAutoHyphens/>
              <w:spacing w:line="288" w:lineRule="auto"/>
              <w:jc w:val="right"/>
              <w:rPr>
                <w:rFonts w:ascii="Times New Roman" w:hAnsi="Times New Roman"/>
                <w:sz w:val="20"/>
                <w:szCs w:val="20"/>
              </w:rPr>
            </w:pPr>
            <w:r w:rsidRPr="00CB0316">
              <w:rPr>
                <w:rFonts w:ascii="Times New Roman" w:hAnsi="Times New Roman"/>
                <w:sz w:val="20"/>
                <w:szCs w:val="20"/>
              </w:rPr>
              <w:t>Page 210</w:t>
            </w:r>
          </w:p>
        </w:tc>
      </w:tr>
      <w:tr w:rsidR="00125818" w:rsidRPr="00CB0316" w14:paraId="532E2545" w14:textId="77777777" w:rsidTr="00671ADE">
        <w:tc>
          <w:tcPr>
            <w:tcW w:w="959" w:type="dxa"/>
            <w:hideMark/>
          </w:tcPr>
          <w:p w14:paraId="7D14CBAB" w14:textId="77777777" w:rsidR="000871B4" w:rsidRPr="00CB0316" w:rsidRDefault="000871B4" w:rsidP="0009512E">
            <w:pPr>
              <w:rPr>
                <w:rFonts w:ascii="Times New Roman" w:hAnsi="Times New Roman"/>
                <w:sz w:val="20"/>
                <w:szCs w:val="20"/>
              </w:rPr>
            </w:pPr>
            <w:r w:rsidRPr="00CB0316">
              <w:rPr>
                <w:rFonts w:ascii="Times New Roman" w:hAnsi="Times New Roman"/>
                <w:sz w:val="20"/>
                <w:szCs w:val="20"/>
              </w:rPr>
              <w:t>Item 4.</w:t>
            </w:r>
          </w:p>
        </w:tc>
        <w:tc>
          <w:tcPr>
            <w:tcW w:w="5987" w:type="dxa"/>
            <w:hideMark/>
          </w:tcPr>
          <w:p w14:paraId="21D6647F" w14:textId="77777777" w:rsidR="000871B4" w:rsidRPr="00CB0316" w:rsidRDefault="000871B4" w:rsidP="0009512E">
            <w:pPr>
              <w:pStyle w:val="NormalAshurst"/>
              <w:spacing w:after="0" w:line="288" w:lineRule="auto"/>
              <w:rPr>
                <w:rFonts w:ascii="Times New Roman" w:hAnsi="Times New Roman" w:cs="Times New Roman"/>
                <w:sz w:val="20"/>
                <w:szCs w:val="20"/>
              </w:rPr>
            </w:pPr>
            <w:r w:rsidRPr="00CB0316">
              <w:rPr>
                <w:rFonts w:ascii="Times New Roman" w:hAnsi="Times New Roman" w:cs="Times New Roman"/>
                <w:sz w:val="20"/>
                <w:szCs w:val="20"/>
              </w:rPr>
              <w:t>Mine Safety Disclosures.</w:t>
            </w:r>
          </w:p>
        </w:tc>
        <w:tc>
          <w:tcPr>
            <w:tcW w:w="1667" w:type="dxa"/>
            <w:hideMark/>
          </w:tcPr>
          <w:p w14:paraId="38DA1BE7" w14:textId="77777777" w:rsidR="000871B4" w:rsidRPr="00CB0316" w:rsidRDefault="000871B4" w:rsidP="0009512E">
            <w:pPr>
              <w:suppressAutoHyphens/>
              <w:spacing w:line="288" w:lineRule="auto"/>
              <w:jc w:val="right"/>
              <w:rPr>
                <w:rFonts w:ascii="Times New Roman" w:hAnsi="Times New Roman"/>
                <w:sz w:val="20"/>
                <w:szCs w:val="20"/>
              </w:rPr>
            </w:pPr>
            <w:r w:rsidRPr="00CB0316">
              <w:rPr>
                <w:rFonts w:ascii="Times New Roman" w:hAnsi="Times New Roman"/>
                <w:sz w:val="20"/>
                <w:szCs w:val="20"/>
              </w:rPr>
              <w:t>Page 210</w:t>
            </w:r>
          </w:p>
        </w:tc>
      </w:tr>
      <w:tr w:rsidR="00125818" w:rsidRPr="00CB0316" w14:paraId="3DCC0D4F" w14:textId="77777777" w:rsidTr="00671ADE">
        <w:tc>
          <w:tcPr>
            <w:tcW w:w="959" w:type="dxa"/>
            <w:hideMark/>
          </w:tcPr>
          <w:p w14:paraId="52D08E36" w14:textId="77777777" w:rsidR="000871B4" w:rsidRPr="00CB0316" w:rsidRDefault="000871B4" w:rsidP="0009512E">
            <w:pPr>
              <w:rPr>
                <w:rFonts w:ascii="Times New Roman" w:hAnsi="Times New Roman"/>
                <w:sz w:val="20"/>
                <w:szCs w:val="20"/>
              </w:rPr>
            </w:pPr>
            <w:r w:rsidRPr="00CB0316">
              <w:rPr>
                <w:rFonts w:ascii="Times New Roman" w:hAnsi="Times New Roman"/>
                <w:sz w:val="20"/>
                <w:szCs w:val="20"/>
              </w:rPr>
              <w:t>Item 5.</w:t>
            </w:r>
          </w:p>
        </w:tc>
        <w:tc>
          <w:tcPr>
            <w:tcW w:w="5987" w:type="dxa"/>
            <w:hideMark/>
          </w:tcPr>
          <w:p w14:paraId="25EC92EC" w14:textId="77777777" w:rsidR="000871B4" w:rsidRPr="00CB0316" w:rsidRDefault="000871B4" w:rsidP="0009512E">
            <w:pPr>
              <w:pStyle w:val="NormalAshurst"/>
              <w:spacing w:after="0" w:line="288" w:lineRule="auto"/>
              <w:rPr>
                <w:rFonts w:ascii="Times New Roman" w:hAnsi="Times New Roman" w:cs="Times New Roman"/>
                <w:sz w:val="20"/>
                <w:szCs w:val="20"/>
              </w:rPr>
            </w:pPr>
            <w:r w:rsidRPr="00CB0316">
              <w:rPr>
                <w:rFonts w:ascii="Times New Roman" w:hAnsi="Times New Roman" w:cs="Times New Roman"/>
                <w:sz w:val="20"/>
                <w:szCs w:val="20"/>
              </w:rPr>
              <w:t>Other Information.</w:t>
            </w:r>
          </w:p>
        </w:tc>
        <w:tc>
          <w:tcPr>
            <w:tcW w:w="1667" w:type="dxa"/>
            <w:hideMark/>
          </w:tcPr>
          <w:p w14:paraId="7FCD3163" w14:textId="77777777" w:rsidR="000871B4" w:rsidRPr="00CB0316" w:rsidRDefault="000871B4" w:rsidP="0009512E">
            <w:pPr>
              <w:suppressAutoHyphens/>
              <w:spacing w:line="288" w:lineRule="auto"/>
              <w:jc w:val="right"/>
              <w:rPr>
                <w:rFonts w:ascii="Times New Roman" w:hAnsi="Times New Roman"/>
                <w:sz w:val="20"/>
                <w:szCs w:val="20"/>
              </w:rPr>
            </w:pPr>
            <w:r w:rsidRPr="00CB0316">
              <w:rPr>
                <w:rFonts w:ascii="Times New Roman" w:hAnsi="Times New Roman"/>
                <w:sz w:val="20"/>
                <w:szCs w:val="20"/>
              </w:rPr>
              <w:t>Page 210</w:t>
            </w:r>
          </w:p>
        </w:tc>
      </w:tr>
      <w:tr w:rsidR="00125818" w:rsidRPr="00CB0316" w14:paraId="64C54D8B" w14:textId="77777777" w:rsidTr="00671ADE">
        <w:tc>
          <w:tcPr>
            <w:tcW w:w="959" w:type="dxa"/>
            <w:hideMark/>
          </w:tcPr>
          <w:p w14:paraId="77AA380E" w14:textId="77777777" w:rsidR="000871B4" w:rsidRPr="00CB0316" w:rsidRDefault="000871B4" w:rsidP="0009512E">
            <w:pPr>
              <w:pStyle w:val="NormalAshurst"/>
              <w:spacing w:after="0" w:line="288" w:lineRule="auto"/>
              <w:rPr>
                <w:rFonts w:ascii="Times New Roman" w:hAnsi="Times New Roman" w:cs="Times New Roman"/>
                <w:sz w:val="20"/>
                <w:szCs w:val="20"/>
              </w:rPr>
            </w:pPr>
            <w:r w:rsidRPr="00CB0316">
              <w:rPr>
                <w:rFonts w:ascii="Times New Roman" w:hAnsi="Times New Roman" w:cs="Times New Roman"/>
                <w:sz w:val="20"/>
                <w:szCs w:val="20"/>
              </w:rPr>
              <w:t>Item 6.</w:t>
            </w:r>
          </w:p>
        </w:tc>
        <w:tc>
          <w:tcPr>
            <w:tcW w:w="5987" w:type="dxa"/>
            <w:hideMark/>
          </w:tcPr>
          <w:p w14:paraId="58356F7D" w14:textId="77777777" w:rsidR="000871B4" w:rsidRPr="00CB0316" w:rsidRDefault="000871B4" w:rsidP="0009512E">
            <w:pPr>
              <w:pStyle w:val="NormalAshurst"/>
              <w:spacing w:after="0" w:line="288" w:lineRule="auto"/>
              <w:rPr>
                <w:rFonts w:ascii="Times New Roman" w:hAnsi="Times New Roman" w:cs="Times New Roman"/>
                <w:sz w:val="20"/>
                <w:szCs w:val="20"/>
              </w:rPr>
            </w:pPr>
            <w:r w:rsidRPr="00CB0316">
              <w:rPr>
                <w:rFonts w:ascii="Times New Roman" w:hAnsi="Times New Roman" w:cs="Times New Roman"/>
                <w:sz w:val="20"/>
                <w:szCs w:val="20"/>
              </w:rPr>
              <w:t>Exhibits.</w:t>
            </w:r>
          </w:p>
        </w:tc>
        <w:tc>
          <w:tcPr>
            <w:tcW w:w="1667" w:type="dxa"/>
            <w:hideMark/>
          </w:tcPr>
          <w:p w14:paraId="1502F8BD" w14:textId="77777777" w:rsidR="000871B4" w:rsidRPr="00CB0316" w:rsidRDefault="000871B4" w:rsidP="0009512E">
            <w:pPr>
              <w:suppressAutoHyphens/>
              <w:spacing w:line="288" w:lineRule="auto"/>
              <w:jc w:val="right"/>
              <w:rPr>
                <w:rFonts w:ascii="Times New Roman" w:hAnsi="Times New Roman"/>
                <w:sz w:val="20"/>
                <w:szCs w:val="20"/>
              </w:rPr>
            </w:pPr>
            <w:r w:rsidRPr="00CB0316">
              <w:rPr>
                <w:rFonts w:ascii="Times New Roman" w:hAnsi="Times New Roman"/>
                <w:sz w:val="20"/>
                <w:szCs w:val="20"/>
              </w:rPr>
              <w:t>Page 211</w:t>
            </w:r>
          </w:p>
        </w:tc>
      </w:tr>
      <w:tr w:rsidR="00125818" w:rsidRPr="00CB0316" w14:paraId="75192404" w14:textId="77777777" w:rsidTr="00671ADE">
        <w:trPr>
          <w:trHeight w:val="291"/>
        </w:trPr>
        <w:tc>
          <w:tcPr>
            <w:tcW w:w="6946" w:type="dxa"/>
            <w:gridSpan w:val="2"/>
          </w:tcPr>
          <w:p w14:paraId="46D72712" w14:textId="77777777" w:rsidR="000871B4" w:rsidRPr="00CB0316" w:rsidRDefault="000871B4" w:rsidP="0009512E">
            <w:pPr>
              <w:pStyle w:val="NormalAshurst"/>
              <w:spacing w:after="0" w:line="288" w:lineRule="auto"/>
              <w:rPr>
                <w:rFonts w:ascii="Times New Roman" w:hAnsi="Times New Roman" w:cs="Times New Roman"/>
                <w:bCs/>
                <w:iCs/>
                <w:sz w:val="20"/>
                <w:szCs w:val="20"/>
              </w:rPr>
            </w:pPr>
          </w:p>
        </w:tc>
        <w:tc>
          <w:tcPr>
            <w:tcW w:w="1667" w:type="dxa"/>
          </w:tcPr>
          <w:p w14:paraId="4702B175" w14:textId="77777777" w:rsidR="000871B4" w:rsidRPr="00CB0316" w:rsidRDefault="000871B4" w:rsidP="0009512E">
            <w:pPr>
              <w:pStyle w:val="NormalAshurst"/>
              <w:spacing w:after="0" w:line="288" w:lineRule="auto"/>
              <w:rPr>
                <w:rFonts w:ascii="Times New Roman" w:hAnsi="Times New Roman" w:cs="Times New Roman"/>
                <w:bCs/>
                <w:sz w:val="20"/>
                <w:szCs w:val="20"/>
              </w:rPr>
            </w:pPr>
          </w:p>
        </w:tc>
      </w:tr>
      <w:tr w:rsidR="00125818" w:rsidRPr="00CB0316" w14:paraId="125154A7" w14:textId="77777777" w:rsidTr="00671ADE">
        <w:trPr>
          <w:trHeight w:val="312"/>
        </w:trPr>
        <w:tc>
          <w:tcPr>
            <w:tcW w:w="6946" w:type="dxa"/>
            <w:gridSpan w:val="2"/>
            <w:hideMark/>
          </w:tcPr>
          <w:p w14:paraId="46FD77AC" w14:textId="77777777" w:rsidR="000871B4" w:rsidRPr="00CB0316" w:rsidRDefault="000871B4" w:rsidP="0009512E">
            <w:pPr>
              <w:pStyle w:val="NormalAshurst"/>
              <w:spacing w:after="0" w:line="288" w:lineRule="auto"/>
              <w:rPr>
                <w:rFonts w:ascii="Times New Roman" w:hAnsi="Times New Roman" w:cs="Times New Roman"/>
                <w:b/>
                <w:i/>
                <w:sz w:val="20"/>
                <w:szCs w:val="20"/>
              </w:rPr>
            </w:pPr>
            <w:r w:rsidRPr="00CB0316">
              <w:rPr>
                <w:rFonts w:ascii="Times New Roman" w:hAnsi="Times New Roman" w:cs="Times New Roman"/>
                <w:b/>
                <w:i/>
                <w:sz w:val="20"/>
              </w:rPr>
              <w:t>From the JPMorgan Chase Bank, N.A. 2023 Interim Financial Statements</w:t>
            </w:r>
          </w:p>
        </w:tc>
        <w:tc>
          <w:tcPr>
            <w:tcW w:w="1667" w:type="dxa"/>
          </w:tcPr>
          <w:p w14:paraId="04E4D87B" w14:textId="77777777" w:rsidR="000871B4" w:rsidRPr="00CB0316" w:rsidRDefault="000871B4" w:rsidP="0009512E">
            <w:pPr>
              <w:pStyle w:val="NormalAshurst"/>
              <w:spacing w:after="0" w:line="288" w:lineRule="auto"/>
              <w:rPr>
                <w:rFonts w:ascii="Times New Roman" w:hAnsi="Times New Roman" w:cs="Times New Roman"/>
                <w:b/>
                <w:sz w:val="20"/>
                <w:szCs w:val="20"/>
              </w:rPr>
            </w:pPr>
          </w:p>
        </w:tc>
      </w:tr>
      <w:tr w:rsidR="00125818" w:rsidRPr="00CB0316" w14:paraId="7BBF36E4" w14:textId="77777777" w:rsidTr="00671ADE">
        <w:trPr>
          <w:trHeight w:val="319"/>
        </w:trPr>
        <w:tc>
          <w:tcPr>
            <w:tcW w:w="6946" w:type="dxa"/>
            <w:gridSpan w:val="2"/>
            <w:hideMark/>
          </w:tcPr>
          <w:p w14:paraId="06EA5033" w14:textId="77777777" w:rsidR="000871B4" w:rsidRPr="00CB0316" w:rsidRDefault="000871B4" w:rsidP="0009512E">
            <w:pPr>
              <w:pStyle w:val="NormalAshurst"/>
              <w:spacing w:after="0" w:line="288" w:lineRule="auto"/>
              <w:rPr>
                <w:rFonts w:ascii="Times New Roman" w:hAnsi="Times New Roman" w:cs="Times New Roman"/>
                <w:sz w:val="20"/>
                <w:szCs w:val="20"/>
              </w:rPr>
            </w:pPr>
            <w:r w:rsidRPr="00CB0316">
              <w:rPr>
                <w:rFonts w:ascii="Times New Roman" w:hAnsi="Times New Roman" w:cs="Times New Roman"/>
                <w:sz w:val="20"/>
              </w:rPr>
              <w:t>Consolidated Financial Statements – JPMorgan Chase Bank, National Association</w:t>
            </w:r>
          </w:p>
        </w:tc>
        <w:tc>
          <w:tcPr>
            <w:tcW w:w="1667" w:type="dxa"/>
          </w:tcPr>
          <w:p w14:paraId="66137484" w14:textId="77777777" w:rsidR="000871B4" w:rsidRPr="00CB0316" w:rsidRDefault="000871B4" w:rsidP="0009512E">
            <w:pPr>
              <w:pStyle w:val="NormalAshurst"/>
              <w:spacing w:after="0" w:line="288" w:lineRule="auto"/>
              <w:jc w:val="right"/>
              <w:rPr>
                <w:rFonts w:ascii="Times New Roman" w:hAnsi="Times New Roman" w:cs="Times New Roman"/>
                <w:sz w:val="20"/>
                <w:szCs w:val="20"/>
              </w:rPr>
            </w:pPr>
          </w:p>
        </w:tc>
      </w:tr>
      <w:tr w:rsidR="00125818" w:rsidRPr="00CB0316" w14:paraId="0928B4C3" w14:textId="77777777" w:rsidTr="00671ADE">
        <w:trPr>
          <w:trHeight w:val="430"/>
        </w:trPr>
        <w:tc>
          <w:tcPr>
            <w:tcW w:w="6946" w:type="dxa"/>
            <w:gridSpan w:val="2"/>
            <w:hideMark/>
          </w:tcPr>
          <w:p w14:paraId="5C880666" w14:textId="77777777" w:rsidR="000871B4" w:rsidRPr="00CB0316" w:rsidRDefault="000871B4" w:rsidP="0009512E">
            <w:pPr>
              <w:pStyle w:val="NormalAshurst"/>
              <w:spacing w:after="0" w:line="288" w:lineRule="auto"/>
              <w:ind w:left="284"/>
              <w:rPr>
                <w:rFonts w:ascii="Times New Roman" w:hAnsi="Times New Roman" w:cs="Times New Roman"/>
                <w:sz w:val="20"/>
                <w:szCs w:val="20"/>
              </w:rPr>
            </w:pPr>
            <w:r w:rsidRPr="00CB0316">
              <w:rPr>
                <w:rFonts w:ascii="Times New Roman" w:hAnsi="Times New Roman" w:cs="Times New Roman"/>
                <w:sz w:val="20"/>
              </w:rPr>
              <w:t>Consolidated Statements of Income (unaudited) for the six months ended June 30, 2023 and 2022</w:t>
            </w:r>
          </w:p>
        </w:tc>
        <w:tc>
          <w:tcPr>
            <w:tcW w:w="1667" w:type="dxa"/>
            <w:hideMark/>
          </w:tcPr>
          <w:p w14:paraId="696A5D7B" w14:textId="77777777" w:rsidR="000871B4" w:rsidRPr="00CB0316" w:rsidRDefault="000871B4" w:rsidP="0009512E">
            <w:pPr>
              <w:pStyle w:val="NormalAshurst"/>
              <w:spacing w:after="0" w:line="288" w:lineRule="auto"/>
              <w:jc w:val="right"/>
              <w:rPr>
                <w:rFonts w:ascii="Times New Roman" w:hAnsi="Times New Roman" w:cs="Times New Roman"/>
                <w:sz w:val="20"/>
                <w:szCs w:val="20"/>
              </w:rPr>
            </w:pPr>
            <w:r w:rsidRPr="00CB0316">
              <w:rPr>
                <w:rFonts w:ascii="Times New Roman" w:hAnsi="Times New Roman" w:cs="Times New Roman"/>
                <w:sz w:val="20"/>
              </w:rPr>
              <w:t xml:space="preserve">Page 3 </w:t>
            </w:r>
          </w:p>
        </w:tc>
      </w:tr>
      <w:tr w:rsidR="00125818" w:rsidRPr="00CB0316" w14:paraId="394CE859" w14:textId="77777777" w:rsidTr="00671ADE">
        <w:trPr>
          <w:trHeight w:val="430"/>
        </w:trPr>
        <w:tc>
          <w:tcPr>
            <w:tcW w:w="6946" w:type="dxa"/>
            <w:gridSpan w:val="2"/>
            <w:hideMark/>
          </w:tcPr>
          <w:p w14:paraId="4A179F4E" w14:textId="77777777" w:rsidR="000871B4" w:rsidRPr="00CB0316" w:rsidRDefault="000871B4" w:rsidP="0009512E">
            <w:pPr>
              <w:pStyle w:val="NormalAshurst"/>
              <w:spacing w:after="0" w:line="288" w:lineRule="auto"/>
              <w:ind w:left="284"/>
              <w:rPr>
                <w:rFonts w:ascii="Times New Roman" w:hAnsi="Times New Roman" w:cs="Times New Roman"/>
                <w:sz w:val="20"/>
                <w:szCs w:val="20"/>
              </w:rPr>
            </w:pPr>
            <w:r w:rsidRPr="00CB0316">
              <w:rPr>
                <w:rFonts w:ascii="Times New Roman" w:hAnsi="Times New Roman" w:cs="Times New Roman"/>
                <w:sz w:val="20"/>
              </w:rPr>
              <w:t>Consolidated Statements of Comprehensive Income (unaudited) for the six months ended June 30, 2023 and 2022</w:t>
            </w:r>
          </w:p>
        </w:tc>
        <w:tc>
          <w:tcPr>
            <w:tcW w:w="1667" w:type="dxa"/>
            <w:hideMark/>
          </w:tcPr>
          <w:p w14:paraId="07475A24" w14:textId="77777777" w:rsidR="000871B4" w:rsidRPr="00CB0316" w:rsidRDefault="000871B4" w:rsidP="0009512E">
            <w:pPr>
              <w:pStyle w:val="NormalAshurst"/>
              <w:spacing w:after="0" w:line="288" w:lineRule="auto"/>
              <w:jc w:val="right"/>
              <w:rPr>
                <w:rFonts w:ascii="Times New Roman" w:hAnsi="Times New Roman" w:cs="Times New Roman"/>
                <w:sz w:val="20"/>
                <w:szCs w:val="20"/>
              </w:rPr>
            </w:pPr>
            <w:r w:rsidRPr="00CB0316">
              <w:rPr>
                <w:rFonts w:ascii="Times New Roman" w:hAnsi="Times New Roman" w:cs="Times New Roman"/>
                <w:sz w:val="20"/>
              </w:rPr>
              <w:t>Page 4</w:t>
            </w:r>
          </w:p>
        </w:tc>
      </w:tr>
      <w:tr w:rsidR="00125818" w:rsidRPr="00CB0316" w14:paraId="4AD17031" w14:textId="77777777" w:rsidTr="00671ADE">
        <w:trPr>
          <w:trHeight w:val="430"/>
        </w:trPr>
        <w:tc>
          <w:tcPr>
            <w:tcW w:w="6946" w:type="dxa"/>
            <w:gridSpan w:val="2"/>
            <w:hideMark/>
          </w:tcPr>
          <w:p w14:paraId="2BF2ED4B" w14:textId="77777777" w:rsidR="000871B4" w:rsidRPr="00CB0316" w:rsidRDefault="000871B4" w:rsidP="0009512E">
            <w:pPr>
              <w:pStyle w:val="NormalAshurst"/>
              <w:spacing w:after="0" w:line="288" w:lineRule="auto"/>
              <w:ind w:left="284"/>
              <w:rPr>
                <w:rFonts w:ascii="Times New Roman" w:hAnsi="Times New Roman" w:cs="Times New Roman"/>
                <w:sz w:val="20"/>
                <w:szCs w:val="20"/>
              </w:rPr>
            </w:pPr>
            <w:r w:rsidRPr="00CB0316">
              <w:rPr>
                <w:rFonts w:ascii="Times New Roman" w:hAnsi="Times New Roman" w:cs="Times New Roman"/>
                <w:sz w:val="20"/>
              </w:rPr>
              <w:t>Consolidated Balance Sheets (unaudited) at June 30, 2023 and December 31, 2022</w:t>
            </w:r>
          </w:p>
        </w:tc>
        <w:tc>
          <w:tcPr>
            <w:tcW w:w="1667" w:type="dxa"/>
            <w:hideMark/>
          </w:tcPr>
          <w:p w14:paraId="2186188F" w14:textId="77777777" w:rsidR="000871B4" w:rsidRPr="00CB0316" w:rsidRDefault="000871B4" w:rsidP="0009512E">
            <w:pPr>
              <w:pStyle w:val="NormalAshurst"/>
              <w:spacing w:after="0" w:line="288" w:lineRule="auto"/>
              <w:jc w:val="right"/>
              <w:rPr>
                <w:rFonts w:ascii="Times New Roman" w:hAnsi="Times New Roman" w:cs="Times New Roman"/>
                <w:sz w:val="20"/>
                <w:szCs w:val="20"/>
              </w:rPr>
            </w:pPr>
            <w:r w:rsidRPr="00CB0316">
              <w:rPr>
                <w:rFonts w:ascii="Times New Roman" w:hAnsi="Times New Roman" w:cs="Times New Roman"/>
                <w:sz w:val="20"/>
              </w:rPr>
              <w:t>Page 5</w:t>
            </w:r>
          </w:p>
        </w:tc>
      </w:tr>
      <w:tr w:rsidR="00125818" w:rsidRPr="00CB0316" w14:paraId="6F3B256A" w14:textId="77777777" w:rsidTr="00671ADE">
        <w:trPr>
          <w:trHeight w:val="430"/>
        </w:trPr>
        <w:tc>
          <w:tcPr>
            <w:tcW w:w="6946" w:type="dxa"/>
            <w:gridSpan w:val="2"/>
            <w:hideMark/>
          </w:tcPr>
          <w:p w14:paraId="45BCAA7B" w14:textId="77777777" w:rsidR="000871B4" w:rsidRPr="00CB0316" w:rsidRDefault="000871B4" w:rsidP="0009512E">
            <w:pPr>
              <w:pStyle w:val="NormalAshurst"/>
              <w:spacing w:after="0" w:line="288" w:lineRule="auto"/>
              <w:ind w:left="284"/>
              <w:rPr>
                <w:rFonts w:ascii="Times New Roman" w:hAnsi="Times New Roman" w:cs="Times New Roman"/>
                <w:sz w:val="20"/>
                <w:szCs w:val="20"/>
              </w:rPr>
            </w:pPr>
            <w:r w:rsidRPr="00CB0316">
              <w:rPr>
                <w:rFonts w:ascii="Times New Roman" w:hAnsi="Times New Roman" w:cs="Times New Roman"/>
                <w:sz w:val="20"/>
              </w:rPr>
              <w:t>Consolidated Statements of Changes in Stockholder's Equity (unaudited) for the six months ended June 30, 2023 and 2022</w:t>
            </w:r>
          </w:p>
        </w:tc>
        <w:tc>
          <w:tcPr>
            <w:tcW w:w="1667" w:type="dxa"/>
            <w:hideMark/>
          </w:tcPr>
          <w:p w14:paraId="71E4FC5C" w14:textId="77777777" w:rsidR="000871B4" w:rsidRPr="00CB0316" w:rsidRDefault="000871B4" w:rsidP="0009512E">
            <w:pPr>
              <w:pStyle w:val="NormalAshurst"/>
              <w:spacing w:after="0" w:line="288" w:lineRule="auto"/>
              <w:jc w:val="right"/>
              <w:rPr>
                <w:rFonts w:ascii="Times New Roman" w:hAnsi="Times New Roman" w:cs="Times New Roman"/>
                <w:sz w:val="20"/>
                <w:szCs w:val="20"/>
              </w:rPr>
            </w:pPr>
            <w:r w:rsidRPr="00CB0316">
              <w:rPr>
                <w:rFonts w:ascii="Times New Roman" w:hAnsi="Times New Roman" w:cs="Times New Roman"/>
                <w:sz w:val="20"/>
              </w:rPr>
              <w:t>Page 6</w:t>
            </w:r>
          </w:p>
        </w:tc>
      </w:tr>
      <w:tr w:rsidR="00125818" w:rsidRPr="00CB0316" w14:paraId="45AFD560" w14:textId="77777777" w:rsidTr="00671ADE">
        <w:trPr>
          <w:trHeight w:val="430"/>
        </w:trPr>
        <w:tc>
          <w:tcPr>
            <w:tcW w:w="6946" w:type="dxa"/>
            <w:gridSpan w:val="2"/>
            <w:hideMark/>
          </w:tcPr>
          <w:p w14:paraId="696C90D2" w14:textId="77777777" w:rsidR="000871B4" w:rsidRPr="00CB0316" w:rsidRDefault="000871B4" w:rsidP="0009512E">
            <w:pPr>
              <w:pStyle w:val="NormalAshurst"/>
              <w:spacing w:after="0" w:line="288" w:lineRule="auto"/>
              <w:ind w:left="284"/>
              <w:rPr>
                <w:rFonts w:ascii="Times New Roman" w:hAnsi="Times New Roman" w:cs="Times New Roman"/>
                <w:sz w:val="20"/>
                <w:szCs w:val="20"/>
              </w:rPr>
            </w:pPr>
            <w:r w:rsidRPr="00CB0316">
              <w:rPr>
                <w:rFonts w:ascii="Times New Roman" w:hAnsi="Times New Roman" w:cs="Times New Roman"/>
                <w:sz w:val="20"/>
              </w:rPr>
              <w:t>Consolidated Statements of Cash Flows (unaudited) for the six months ended June 30, 2023 and 2022</w:t>
            </w:r>
          </w:p>
        </w:tc>
        <w:tc>
          <w:tcPr>
            <w:tcW w:w="1667" w:type="dxa"/>
            <w:hideMark/>
          </w:tcPr>
          <w:p w14:paraId="04FCC9D8" w14:textId="77777777" w:rsidR="000871B4" w:rsidRPr="00CB0316" w:rsidRDefault="000871B4" w:rsidP="0009512E">
            <w:pPr>
              <w:pStyle w:val="NormalAshurst"/>
              <w:spacing w:after="0" w:line="288" w:lineRule="auto"/>
              <w:jc w:val="right"/>
              <w:rPr>
                <w:rFonts w:ascii="Times New Roman" w:hAnsi="Times New Roman" w:cs="Times New Roman"/>
                <w:sz w:val="20"/>
                <w:szCs w:val="20"/>
              </w:rPr>
            </w:pPr>
            <w:r w:rsidRPr="00CB0316">
              <w:rPr>
                <w:rFonts w:ascii="Times New Roman" w:hAnsi="Times New Roman" w:cs="Times New Roman"/>
                <w:sz w:val="20"/>
              </w:rPr>
              <w:t>Page 7</w:t>
            </w:r>
          </w:p>
        </w:tc>
      </w:tr>
      <w:tr w:rsidR="00125818" w:rsidRPr="00CB0316" w14:paraId="772A13D6" w14:textId="77777777" w:rsidTr="00671ADE">
        <w:trPr>
          <w:trHeight w:val="237"/>
        </w:trPr>
        <w:tc>
          <w:tcPr>
            <w:tcW w:w="6946" w:type="dxa"/>
            <w:gridSpan w:val="2"/>
            <w:hideMark/>
          </w:tcPr>
          <w:p w14:paraId="2D486FD6" w14:textId="77777777" w:rsidR="000871B4" w:rsidRPr="00CB0316" w:rsidRDefault="000871B4" w:rsidP="0009512E">
            <w:pPr>
              <w:pStyle w:val="NormalAshurst"/>
              <w:spacing w:after="0" w:line="288" w:lineRule="auto"/>
              <w:rPr>
                <w:rFonts w:ascii="Times New Roman" w:hAnsi="Times New Roman" w:cs="Times New Roman"/>
                <w:sz w:val="20"/>
                <w:szCs w:val="20"/>
              </w:rPr>
            </w:pPr>
            <w:r w:rsidRPr="00CB0316">
              <w:rPr>
                <w:rFonts w:ascii="Times New Roman" w:hAnsi="Times New Roman" w:cs="Times New Roman"/>
                <w:sz w:val="20"/>
              </w:rPr>
              <w:t>Notes to Consolidated Financial Statements (unaudited)</w:t>
            </w:r>
          </w:p>
        </w:tc>
        <w:tc>
          <w:tcPr>
            <w:tcW w:w="1667" w:type="dxa"/>
            <w:hideMark/>
          </w:tcPr>
          <w:p w14:paraId="4EF739C9" w14:textId="77777777" w:rsidR="000871B4" w:rsidRPr="00CB0316" w:rsidRDefault="000871B4" w:rsidP="0009512E">
            <w:pPr>
              <w:pStyle w:val="NormalAshurst"/>
              <w:spacing w:after="0" w:line="288" w:lineRule="auto"/>
              <w:jc w:val="right"/>
              <w:rPr>
                <w:rFonts w:ascii="Times New Roman" w:hAnsi="Times New Roman" w:cs="Times New Roman"/>
                <w:sz w:val="20"/>
                <w:szCs w:val="20"/>
              </w:rPr>
            </w:pPr>
            <w:r w:rsidRPr="00CB0316">
              <w:rPr>
                <w:rFonts w:ascii="Times New Roman" w:hAnsi="Times New Roman" w:cs="Times New Roman"/>
                <w:sz w:val="20"/>
              </w:rPr>
              <w:t>Pages 8 to 90</w:t>
            </w:r>
          </w:p>
        </w:tc>
      </w:tr>
      <w:tr w:rsidR="00125818" w:rsidRPr="00CB0316" w14:paraId="7814CDFD" w14:textId="77777777" w:rsidTr="00671ADE">
        <w:trPr>
          <w:trHeight w:val="255"/>
        </w:trPr>
        <w:tc>
          <w:tcPr>
            <w:tcW w:w="6946" w:type="dxa"/>
            <w:gridSpan w:val="2"/>
            <w:hideMark/>
          </w:tcPr>
          <w:p w14:paraId="67B937DC" w14:textId="77777777" w:rsidR="000871B4" w:rsidRPr="00CB0316" w:rsidRDefault="000871B4" w:rsidP="0009512E">
            <w:pPr>
              <w:pStyle w:val="NormalAshurst"/>
              <w:spacing w:after="0" w:line="288" w:lineRule="auto"/>
              <w:rPr>
                <w:rFonts w:ascii="Times New Roman" w:hAnsi="Times New Roman" w:cs="Times New Roman"/>
                <w:sz w:val="20"/>
                <w:szCs w:val="20"/>
              </w:rPr>
            </w:pPr>
            <w:r w:rsidRPr="00CB0316">
              <w:rPr>
                <w:rFonts w:ascii="Times New Roman" w:hAnsi="Times New Roman" w:cs="Times New Roman"/>
                <w:sz w:val="20"/>
              </w:rPr>
              <w:t>Report of Independent Auditors</w:t>
            </w:r>
          </w:p>
        </w:tc>
        <w:tc>
          <w:tcPr>
            <w:tcW w:w="1667" w:type="dxa"/>
            <w:hideMark/>
          </w:tcPr>
          <w:p w14:paraId="47A0CF9C" w14:textId="77777777" w:rsidR="000871B4" w:rsidRPr="00CB0316" w:rsidRDefault="000871B4" w:rsidP="0009512E">
            <w:pPr>
              <w:pStyle w:val="NormalAshurst"/>
              <w:spacing w:after="0" w:line="288" w:lineRule="auto"/>
              <w:jc w:val="right"/>
              <w:rPr>
                <w:rFonts w:ascii="Times New Roman" w:hAnsi="Times New Roman" w:cs="Times New Roman"/>
                <w:sz w:val="20"/>
                <w:szCs w:val="20"/>
              </w:rPr>
            </w:pPr>
            <w:r w:rsidRPr="00CB0316">
              <w:rPr>
                <w:rFonts w:ascii="Times New Roman" w:hAnsi="Times New Roman" w:cs="Times New Roman"/>
                <w:sz w:val="20"/>
              </w:rPr>
              <w:t>Page 91</w:t>
            </w:r>
          </w:p>
        </w:tc>
      </w:tr>
      <w:tr w:rsidR="00125818" w:rsidRPr="00CB0316" w14:paraId="5F0C3C81" w14:textId="77777777" w:rsidTr="00671ADE">
        <w:trPr>
          <w:trHeight w:val="263"/>
        </w:trPr>
        <w:tc>
          <w:tcPr>
            <w:tcW w:w="6946" w:type="dxa"/>
            <w:gridSpan w:val="2"/>
            <w:hideMark/>
          </w:tcPr>
          <w:p w14:paraId="3D3200D3" w14:textId="77777777" w:rsidR="000871B4" w:rsidRPr="00CB0316" w:rsidRDefault="000871B4" w:rsidP="0009512E">
            <w:pPr>
              <w:pStyle w:val="NormalAshurst"/>
              <w:spacing w:after="0" w:line="288" w:lineRule="auto"/>
              <w:rPr>
                <w:rFonts w:ascii="Times New Roman" w:hAnsi="Times New Roman" w:cs="Times New Roman"/>
                <w:sz w:val="20"/>
                <w:szCs w:val="20"/>
              </w:rPr>
            </w:pPr>
            <w:r w:rsidRPr="00CB0316">
              <w:rPr>
                <w:rFonts w:ascii="Times New Roman" w:hAnsi="Times New Roman" w:cs="Times New Roman"/>
                <w:sz w:val="20"/>
              </w:rPr>
              <w:t>Supplementary Information (unaudited)</w:t>
            </w:r>
          </w:p>
        </w:tc>
        <w:tc>
          <w:tcPr>
            <w:tcW w:w="1667" w:type="dxa"/>
            <w:hideMark/>
          </w:tcPr>
          <w:p w14:paraId="42567B30" w14:textId="77777777" w:rsidR="000871B4" w:rsidRPr="00CB0316" w:rsidRDefault="000871B4" w:rsidP="0009512E">
            <w:pPr>
              <w:pStyle w:val="NormalAshurst"/>
              <w:spacing w:after="0" w:line="288" w:lineRule="auto"/>
              <w:jc w:val="right"/>
              <w:rPr>
                <w:rFonts w:ascii="Times New Roman" w:hAnsi="Times New Roman" w:cs="Times New Roman"/>
                <w:sz w:val="20"/>
                <w:szCs w:val="20"/>
              </w:rPr>
            </w:pPr>
          </w:p>
        </w:tc>
      </w:tr>
      <w:tr w:rsidR="00125818" w:rsidRPr="00CB0316" w14:paraId="20C5A8DA" w14:textId="77777777" w:rsidTr="00671ADE">
        <w:trPr>
          <w:trHeight w:val="263"/>
        </w:trPr>
        <w:tc>
          <w:tcPr>
            <w:tcW w:w="6946" w:type="dxa"/>
            <w:gridSpan w:val="2"/>
          </w:tcPr>
          <w:p w14:paraId="209711DF" w14:textId="77777777" w:rsidR="000871B4" w:rsidRPr="00CB0316" w:rsidRDefault="000871B4" w:rsidP="0009512E">
            <w:pPr>
              <w:pStyle w:val="NormalAshurst"/>
              <w:spacing w:after="0" w:line="288" w:lineRule="auto"/>
              <w:ind w:firstLine="284"/>
              <w:rPr>
                <w:rFonts w:ascii="Times New Roman" w:hAnsi="Times New Roman" w:cs="Times New Roman"/>
                <w:sz w:val="20"/>
              </w:rPr>
            </w:pPr>
            <w:r w:rsidRPr="00CB0316">
              <w:rPr>
                <w:rFonts w:ascii="Times New Roman" w:hAnsi="Times New Roman" w:cs="Times New Roman"/>
                <w:sz w:val="20"/>
              </w:rPr>
              <w:t xml:space="preserve">Glossary of Terms and Acronyms </w:t>
            </w:r>
          </w:p>
        </w:tc>
        <w:tc>
          <w:tcPr>
            <w:tcW w:w="1667" w:type="dxa"/>
          </w:tcPr>
          <w:p w14:paraId="5E954D5C" w14:textId="77777777" w:rsidR="000871B4" w:rsidRPr="00CB0316" w:rsidRDefault="000871B4" w:rsidP="0009512E">
            <w:pPr>
              <w:pStyle w:val="NormalAshurst"/>
              <w:spacing w:after="0" w:line="288" w:lineRule="auto"/>
              <w:jc w:val="right"/>
              <w:rPr>
                <w:rFonts w:ascii="Times New Roman" w:hAnsi="Times New Roman" w:cs="Times New Roman"/>
                <w:sz w:val="20"/>
                <w:szCs w:val="20"/>
              </w:rPr>
            </w:pPr>
            <w:r w:rsidRPr="00CB0316">
              <w:rPr>
                <w:rFonts w:ascii="Times New Roman" w:hAnsi="Times New Roman" w:cs="Times New Roman"/>
                <w:sz w:val="20"/>
              </w:rPr>
              <w:t>Pages 92 to 95</w:t>
            </w:r>
          </w:p>
        </w:tc>
      </w:tr>
      <w:tr w:rsidR="005F6648" w:rsidRPr="00CB0316" w14:paraId="6E3EEA73" w14:textId="77777777" w:rsidTr="00671ADE">
        <w:trPr>
          <w:trHeight w:val="263"/>
        </w:trPr>
        <w:tc>
          <w:tcPr>
            <w:tcW w:w="6946" w:type="dxa"/>
            <w:gridSpan w:val="2"/>
          </w:tcPr>
          <w:p w14:paraId="30DA1ED7" w14:textId="77777777" w:rsidR="005F6648" w:rsidRPr="00CB0316" w:rsidRDefault="005F6648" w:rsidP="0009512E">
            <w:pPr>
              <w:pStyle w:val="NormalAshurst"/>
              <w:spacing w:after="0" w:line="288" w:lineRule="auto"/>
              <w:ind w:firstLine="284"/>
              <w:rPr>
                <w:rFonts w:ascii="Times New Roman" w:hAnsi="Times New Roman" w:cs="Times New Roman"/>
                <w:sz w:val="20"/>
              </w:rPr>
            </w:pPr>
            <w:bookmarkStart w:id="8" w:name="_Hlk110532325"/>
          </w:p>
        </w:tc>
        <w:tc>
          <w:tcPr>
            <w:tcW w:w="1667" w:type="dxa"/>
          </w:tcPr>
          <w:p w14:paraId="3ADDE8F6" w14:textId="77777777" w:rsidR="005F6648" w:rsidRPr="00CB0316" w:rsidRDefault="005F6648" w:rsidP="0009512E">
            <w:pPr>
              <w:pStyle w:val="NormalAshurst"/>
              <w:spacing w:after="0" w:line="288" w:lineRule="auto"/>
              <w:jc w:val="right"/>
              <w:rPr>
                <w:rFonts w:ascii="Times New Roman" w:hAnsi="Times New Roman" w:cs="Times New Roman"/>
                <w:sz w:val="20"/>
              </w:rPr>
            </w:pPr>
          </w:p>
        </w:tc>
      </w:tr>
      <w:tr w:rsidR="005F6648" w:rsidRPr="00CB0316" w14:paraId="370B7A15" w14:textId="77777777" w:rsidTr="00671ADE">
        <w:trPr>
          <w:trHeight w:val="263"/>
        </w:trPr>
        <w:tc>
          <w:tcPr>
            <w:tcW w:w="6946" w:type="dxa"/>
            <w:gridSpan w:val="2"/>
          </w:tcPr>
          <w:p w14:paraId="77E8B769" w14:textId="07AC240C" w:rsidR="005F6648" w:rsidRPr="00CB0316" w:rsidRDefault="005F6648" w:rsidP="005F6648">
            <w:pPr>
              <w:pStyle w:val="NormalAshurst"/>
              <w:spacing w:after="0" w:line="288" w:lineRule="auto"/>
              <w:rPr>
                <w:rFonts w:ascii="Times New Roman" w:hAnsi="Times New Roman" w:cs="Times New Roman"/>
                <w:sz w:val="20"/>
              </w:rPr>
            </w:pPr>
            <w:r w:rsidRPr="00CB0316">
              <w:rPr>
                <w:rFonts w:ascii="Times New Roman" w:hAnsi="Times New Roman" w:cs="Times New Roman"/>
                <w:b/>
                <w:bCs/>
                <w:i/>
                <w:iCs/>
                <w:sz w:val="20"/>
                <w:szCs w:val="20"/>
              </w:rPr>
              <w:t xml:space="preserve">From Supplement No. 4 to the Registration Document of JPMorgan Chase &amp; Co. </w:t>
            </w:r>
          </w:p>
        </w:tc>
        <w:tc>
          <w:tcPr>
            <w:tcW w:w="1667" w:type="dxa"/>
          </w:tcPr>
          <w:p w14:paraId="35D13C85" w14:textId="77777777" w:rsidR="005F6648" w:rsidRPr="00CB0316" w:rsidRDefault="005F6648" w:rsidP="005F6648">
            <w:pPr>
              <w:pStyle w:val="NormalAshurst"/>
              <w:spacing w:after="0" w:line="288" w:lineRule="auto"/>
              <w:jc w:val="right"/>
              <w:rPr>
                <w:rFonts w:ascii="Times New Roman" w:hAnsi="Times New Roman" w:cs="Times New Roman"/>
                <w:sz w:val="20"/>
              </w:rPr>
            </w:pPr>
          </w:p>
        </w:tc>
      </w:tr>
      <w:tr w:rsidR="005F6648" w:rsidRPr="00CB0316" w14:paraId="6AA4B5E6" w14:textId="77777777" w:rsidTr="00671ADE">
        <w:trPr>
          <w:trHeight w:val="263"/>
        </w:trPr>
        <w:tc>
          <w:tcPr>
            <w:tcW w:w="6946" w:type="dxa"/>
            <w:gridSpan w:val="2"/>
          </w:tcPr>
          <w:p w14:paraId="1040A038" w14:textId="79B4EF36" w:rsidR="005F6648" w:rsidRPr="00CB0316" w:rsidRDefault="005F6648" w:rsidP="005F6648">
            <w:pPr>
              <w:pStyle w:val="NormalAshurst"/>
              <w:spacing w:after="0" w:line="288" w:lineRule="auto"/>
              <w:rPr>
                <w:rFonts w:ascii="Times New Roman" w:hAnsi="Times New Roman" w:cs="Times New Roman"/>
                <w:sz w:val="20"/>
              </w:rPr>
            </w:pPr>
            <w:r w:rsidRPr="00CB0316">
              <w:rPr>
                <w:rFonts w:ascii="Times New Roman" w:hAnsi="Times New Roman" w:cs="Times New Roman"/>
                <w:sz w:val="20"/>
                <w:szCs w:val="20"/>
              </w:rPr>
              <w:t>Amendments to the section entitled General Information</w:t>
            </w:r>
          </w:p>
        </w:tc>
        <w:tc>
          <w:tcPr>
            <w:tcW w:w="1667" w:type="dxa"/>
          </w:tcPr>
          <w:p w14:paraId="1A4F2E02" w14:textId="39824038" w:rsidR="005F6648" w:rsidRPr="00CB0316" w:rsidRDefault="005F6648" w:rsidP="005F6648">
            <w:pPr>
              <w:pStyle w:val="NormalAshurst"/>
              <w:spacing w:after="0" w:line="288" w:lineRule="auto"/>
              <w:jc w:val="right"/>
              <w:rPr>
                <w:rFonts w:ascii="Times New Roman" w:hAnsi="Times New Roman" w:cs="Times New Roman"/>
                <w:sz w:val="20"/>
              </w:rPr>
            </w:pPr>
            <w:r w:rsidRPr="00CB0316">
              <w:rPr>
                <w:rFonts w:ascii="Times New Roman" w:hAnsi="Times New Roman" w:cs="Times New Roman"/>
                <w:sz w:val="20"/>
                <w:szCs w:val="20"/>
              </w:rPr>
              <w:t>Page</w:t>
            </w:r>
            <w:r w:rsidR="00A71632" w:rsidRPr="00CB0316">
              <w:rPr>
                <w:rFonts w:ascii="Times New Roman" w:hAnsi="Times New Roman" w:cs="Times New Roman"/>
                <w:sz w:val="20"/>
                <w:szCs w:val="20"/>
              </w:rPr>
              <w:t>s 3 to 4</w:t>
            </w:r>
          </w:p>
        </w:tc>
      </w:tr>
      <w:tr w:rsidR="005F6648" w:rsidRPr="00CB0316" w14:paraId="7765C784" w14:textId="77777777" w:rsidTr="00671ADE">
        <w:trPr>
          <w:trHeight w:val="263"/>
        </w:trPr>
        <w:tc>
          <w:tcPr>
            <w:tcW w:w="6946" w:type="dxa"/>
            <w:gridSpan w:val="2"/>
          </w:tcPr>
          <w:p w14:paraId="296829CE" w14:textId="77777777" w:rsidR="005F6648" w:rsidRPr="00CB0316" w:rsidRDefault="005F6648" w:rsidP="005F6648">
            <w:pPr>
              <w:pStyle w:val="NormalAshurst"/>
              <w:spacing w:after="0" w:line="288" w:lineRule="auto"/>
              <w:ind w:firstLine="284"/>
              <w:rPr>
                <w:rFonts w:ascii="Times New Roman" w:hAnsi="Times New Roman" w:cs="Times New Roman"/>
                <w:sz w:val="20"/>
              </w:rPr>
            </w:pPr>
          </w:p>
        </w:tc>
        <w:tc>
          <w:tcPr>
            <w:tcW w:w="1667" w:type="dxa"/>
          </w:tcPr>
          <w:p w14:paraId="1C189DAD" w14:textId="77777777" w:rsidR="005F6648" w:rsidRPr="00CB0316" w:rsidRDefault="005F6648" w:rsidP="005F6648">
            <w:pPr>
              <w:pStyle w:val="NormalAshurst"/>
              <w:spacing w:after="0" w:line="288" w:lineRule="auto"/>
              <w:jc w:val="right"/>
              <w:rPr>
                <w:rFonts w:ascii="Times New Roman" w:hAnsi="Times New Roman" w:cs="Times New Roman"/>
                <w:sz w:val="20"/>
              </w:rPr>
            </w:pPr>
          </w:p>
        </w:tc>
      </w:tr>
      <w:tr w:rsidR="005F6648" w:rsidRPr="00CB0316" w14:paraId="34844E58" w14:textId="77777777" w:rsidTr="00671ADE">
        <w:trPr>
          <w:trHeight w:val="263"/>
        </w:trPr>
        <w:tc>
          <w:tcPr>
            <w:tcW w:w="6946" w:type="dxa"/>
            <w:gridSpan w:val="2"/>
          </w:tcPr>
          <w:p w14:paraId="3C0083CF" w14:textId="71EF9A6D" w:rsidR="005F6648" w:rsidRPr="00CB0316" w:rsidRDefault="005F6648" w:rsidP="005F6648">
            <w:pPr>
              <w:pStyle w:val="NormalAshurst"/>
              <w:spacing w:after="0" w:line="288" w:lineRule="auto"/>
              <w:rPr>
                <w:rFonts w:ascii="Times New Roman" w:hAnsi="Times New Roman" w:cs="Times New Roman"/>
                <w:sz w:val="20"/>
              </w:rPr>
            </w:pPr>
            <w:r w:rsidRPr="00CB0316">
              <w:rPr>
                <w:rFonts w:ascii="Times New Roman" w:hAnsi="Times New Roman" w:cs="Times New Roman"/>
                <w:b/>
                <w:bCs/>
                <w:i/>
                <w:iCs/>
                <w:sz w:val="20"/>
                <w:szCs w:val="20"/>
              </w:rPr>
              <w:t xml:space="preserve">From Supplement No. 4 to the Registration Document of JPMorgan Chase Bank, N.A. </w:t>
            </w:r>
          </w:p>
        </w:tc>
        <w:tc>
          <w:tcPr>
            <w:tcW w:w="1667" w:type="dxa"/>
          </w:tcPr>
          <w:p w14:paraId="7ACD640D" w14:textId="77777777" w:rsidR="005F6648" w:rsidRPr="00CB0316" w:rsidRDefault="005F6648" w:rsidP="005F6648">
            <w:pPr>
              <w:pStyle w:val="NormalAshurst"/>
              <w:spacing w:after="0" w:line="288" w:lineRule="auto"/>
              <w:jc w:val="right"/>
              <w:rPr>
                <w:rFonts w:ascii="Times New Roman" w:hAnsi="Times New Roman" w:cs="Times New Roman"/>
                <w:sz w:val="20"/>
              </w:rPr>
            </w:pPr>
          </w:p>
        </w:tc>
      </w:tr>
      <w:tr w:rsidR="005F6648" w:rsidRPr="00CB0316" w14:paraId="0ECE18C4" w14:textId="77777777" w:rsidTr="00671ADE">
        <w:trPr>
          <w:trHeight w:val="263"/>
        </w:trPr>
        <w:tc>
          <w:tcPr>
            <w:tcW w:w="6946" w:type="dxa"/>
            <w:gridSpan w:val="2"/>
          </w:tcPr>
          <w:p w14:paraId="68929E15" w14:textId="71BE21C8" w:rsidR="005F6648" w:rsidRPr="00CB0316" w:rsidRDefault="005F6648" w:rsidP="005F6648">
            <w:pPr>
              <w:pStyle w:val="NormalAshurst"/>
              <w:spacing w:after="0" w:line="288" w:lineRule="auto"/>
              <w:rPr>
                <w:rFonts w:ascii="Times New Roman" w:hAnsi="Times New Roman" w:cs="Times New Roman"/>
                <w:sz w:val="20"/>
              </w:rPr>
            </w:pPr>
            <w:r w:rsidRPr="00CB0316">
              <w:rPr>
                <w:rFonts w:ascii="Times New Roman" w:hAnsi="Times New Roman" w:cs="Times New Roman"/>
                <w:sz w:val="20"/>
                <w:szCs w:val="20"/>
              </w:rPr>
              <w:t xml:space="preserve">Amendments to the section entitled General Information </w:t>
            </w:r>
          </w:p>
        </w:tc>
        <w:tc>
          <w:tcPr>
            <w:tcW w:w="1667" w:type="dxa"/>
          </w:tcPr>
          <w:p w14:paraId="5BC77B32" w14:textId="0175E178" w:rsidR="005F6648" w:rsidRPr="00CB0316" w:rsidRDefault="005F6648" w:rsidP="005F6648">
            <w:pPr>
              <w:pStyle w:val="NormalAshurst"/>
              <w:spacing w:after="0" w:line="288" w:lineRule="auto"/>
              <w:jc w:val="right"/>
              <w:rPr>
                <w:rFonts w:ascii="Times New Roman" w:hAnsi="Times New Roman" w:cs="Times New Roman"/>
                <w:sz w:val="20"/>
              </w:rPr>
            </w:pPr>
            <w:r w:rsidRPr="00CB0316">
              <w:rPr>
                <w:rFonts w:ascii="Times New Roman" w:hAnsi="Times New Roman" w:cs="Times New Roman"/>
                <w:sz w:val="20"/>
                <w:szCs w:val="20"/>
              </w:rPr>
              <w:t>Page</w:t>
            </w:r>
            <w:r w:rsidR="00A220EC" w:rsidRPr="00CB0316">
              <w:rPr>
                <w:rFonts w:ascii="Times New Roman" w:hAnsi="Times New Roman" w:cs="Times New Roman"/>
                <w:sz w:val="20"/>
                <w:szCs w:val="20"/>
              </w:rPr>
              <w:t xml:space="preserve">s </w:t>
            </w:r>
            <w:r w:rsidRPr="00CB0316">
              <w:rPr>
                <w:rFonts w:ascii="Times New Roman" w:hAnsi="Times New Roman" w:cs="Times New Roman"/>
                <w:sz w:val="20"/>
                <w:szCs w:val="20"/>
              </w:rPr>
              <w:t>3</w:t>
            </w:r>
            <w:r w:rsidR="00A220EC" w:rsidRPr="00CB0316">
              <w:rPr>
                <w:rFonts w:ascii="Times New Roman" w:hAnsi="Times New Roman" w:cs="Times New Roman"/>
                <w:sz w:val="20"/>
                <w:szCs w:val="20"/>
              </w:rPr>
              <w:t xml:space="preserve"> to 4</w:t>
            </w:r>
            <w:r w:rsidRPr="00CB0316">
              <w:rPr>
                <w:rFonts w:ascii="Times New Roman" w:hAnsi="Times New Roman" w:cs="Times New Roman"/>
                <w:b/>
                <w:bCs/>
                <w:i/>
                <w:iCs/>
                <w:sz w:val="20"/>
                <w:szCs w:val="20"/>
              </w:rPr>
              <w:t xml:space="preserve"> </w:t>
            </w:r>
          </w:p>
        </w:tc>
      </w:tr>
      <w:bookmarkEnd w:id="1"/>
      <w:bookmarkEnd w:id="8"/>
    </w:tbl>
    <w:p w14:paraId="7B1FD094" w14:textId="77777777" w:rsidR="00AE48C8" w:rsidRPr="00CB0316" w:rsidRDefault="00AE48C8" w:rsidP="00AE48C8">
      <w:pPr>
        <w:spacing w:line="288" w:lineRule="auto"/>
        <w:rPr>
          <w:rFonts w:ascii="Times New Roman" w:hAnsi="Times New Roman"/>
        </w:rPr>
      </w:pPr>
    </w:p>
    <w:bookmarkEnd w:id="2"/>
    <w:p w14:paraId="6913D55D" w14:textId="5503400F" w:rsidR="00AE48C8" w:rsidRPr="00CB0316" w:rsidRDefault="00AE48C8" w:rsidP="00AE48C8">
      <w:pPr>
        <w:pStyle w:val="NormalAshurst"/>
        <w:ind w:left="709" w:hanging="709"/>
        <w:rPr>
          <w:rFonts w:ascii="Times New Roman" w:hAnsi="Times New Roman" w:cs="Times New Roman"/>
          <w:b/>
          <w:sz w:val="20"/>
          <w:szCs w:val="20"/>
        </w:rPr>
      </w:pPr>
      <w:r w:rsidRPr="00CB0316">
        <w:rPr>
          <w:rFonts w:ascii="Times New Roman" w:hAnsi="Times New Roman" w:cs="Times New Roman"/>
          <w:b/>
          <w:sz w:val="20"/>
          <w:szCs w:val="20"/>
        </w:rPr>
        <w:t>II.</w:t>
      </w:r>
      <w:r w:rsidRPr="00CB0316">
        <w:rPr>
          <w:rFonts w:ascii="Times New Roman" w:hAnsi="Times New Roman" w:cs="Times New Roman"/>
          <w:b/>
          <w:sz w:val="20"/>
          <w:szCs w:val="20"/>
        </w:rPr>
        <w:tab/>
        <w:t>Amendments to the information in the Offering Circular</w:t>
      </w:r>
    </w:p>
    <w:p w14:paraId="6C9A34EF" w14:textId="77777777" w:rsidR="001B4DDE" w:rsidRPr="00CB0316" w:rsidRDefault="001B4DDE" w:rsidP="001B4DDE">
      <w:pPr>
        <w:pStyle w:val="ListParagraph"/>
        <w:numPr>
          <w:ilvl w:val="0"/>
          <w:numId w:val="41"/>
        </w:numPr>
        <w:suppressAutoHyphens/>
        <w:spacing w:after="220" w:line="288" w:lineRule="auto"/>
        <w:ind w:left="709" w:hanging="709"/>
        <w:rPr>
          <w:rFonts w:ascii="Times New Roman" w:hAnsi="Times New Roman"/>
          <w:b/>
          <w:sz w:val="20"/>
          <w:szCs w:val="20"/>
        </w:rPr>
      </w:pPr>
      <w:r w:rsidRPr="00CB0316">
        <w:rPr>
          <w:rFonts w:ascii="Times New Roman" w:hAnsi="Times New Roman"/>
          <w:b/>
          <w:sz w:val="20"/>
          <w:szCs w:val="20"/>
        </w:rPr>
        <w:lastRenderedPageBreak/>
        <w:t>Amendments to the section entitled Summary of the Programme</w:t>
      </w:r>
    </w:p>
    <w:p w14:paraId="72EDA4C4" w14:textId="758A6AAB" w:rsidR="001B4DDE" w:rsidRPr="00CB0316" w:rsidRDefault="001B4DDE" w:rsidP="001B4DDE">
      <w:pPr>
        <w:spacing w:line="288" w:lineRule="auto"/>
        <w:ind w:left="709"/>
        <w:rPr>
          <w:rFonts w:ascii="Times New Roman" w:hAnsi="Times New Roman"/>
          <w:bCs/>
          <w:sz w:val="20"/>
          <w:szCs w:val="20"/>
        </w:rPr>
      </w:pPr>
      <w:r w:rsidRPr="00CB0316">
        <w:rPr>
          <w:rFonts w:ascii="Times New Roman" w:hAnsi="Times New Roman"/>
          <w:bCs/>
          <w:sz w:val="20"/>
          <w:szCs w:val="20"/>
        </w:rPr>
        <w:t xml:space="preserve">The subsection headed "Sustainable Securities" </w:t>
      </w:r>
      <w:r w:rsidR="00F504BE" w:rsidRPr="00CB0316">
        <w:rPr>
          <w:rFonts w:ascii="Times New Roman" w:hAnsi="Times New Roman"/>
          <w:bCs/>
          <w:sz w:val="20"/>
          <w:szCs w:val="20"/>
        </w:rPr>
        <w:t>in</w:t>
      </w:r>
      <w:r w:rsidRPr="00CB0316">
        <w:rPr>
          <w:rFonts w:ascii="Times New Roman" w:hAnsi="Times New Roman"/>
          <w:bCs/>
          <w:sz w:val="20"/>
          <w:szCs w:val="20"/>
        </w:rPr>
        <w:t xml:space="preserve"> the section entitled "Summary of the Programme" on pages 30 to 31 of the Original Offering Circular shall be deleted and replaced with the following: </w:t>
      </w:r>
    </w:p>
    <w:p w14:paraId="21D6DB6E" w14:textId="77777777" w:rsidR="001B4DDE" w:rsidRPr="00CB0316" w:rsidRDefault="001B4DDE" w:rsidP="001B4DDE">
      <w:pPr>
        <w:spacing w:line="288" w:lineRule="auto"/>
        <w:ind w:left="709"/>
        <w:rPr>
          <w:rFonts w:ascii="Times New Roman" w:hAnsi="Times New Roman"/>
          <w:bCs/>
          <w:sz w:val="20"/>
          <w:szCs w:val="20"/>
        </w:rPr>
      </w:pPr>
    </w:p>
    <w:tbl>
      <w:tblPr>
        <w:tblStyle w:val="TableGrid"/>
        <w:tblW w:w="8306" w:type="dxa"/>
        <w:tblInd w:w="72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793"/>
        <w:gridCol w:w="6513"/>
      </w:tblGrid>
      <w:tr w:rsidR="00125818" w:rsidRPr="00CB0316" w14:paraId="584B35F3" w14:textId="77777777" w:rsidTr="0009512E">
        <w:tc>
          <w:tcPr>
            <w:tcW w:w="1793" w:type="dxa"/>
          </w:tcPr>
          <w:p w14:paraId="4AACD7E9" w14:textId="4B003D37" w:rsidR="001B4DDE" w:rsidRPr="00CB0316" w:rsidRDefault="00566162" w:rsidP="0009512E">
            <w:pPr>
              <w:pStyle w:val="NormalOCAshurst"/>
              <w:jc w:val="left"/>
              <w:rPr>
                <w:b/>
                <w:bCs/>
              </w:rPr>
            </w:pPr>
            <w:r w:rsidRPr="00CB0316">
              <w:t>"</w:t>
            </w:r>
            <w:r w:rsidR="001B4DDE" w:rsidRPr="00CB0316">
              <w:rPr>
                <w:b/>
                <w:bCs/>
              </w:rPr>
              <w:t>Sustainable Securities</w:t>
            </w:r>
          </w:p>
        </w:tc>
        <w:tc>
          <w:tcPr>
            <w:tcW w:w="6513" w:type="dxa"/>
          </w:tcPr>
          <w:p w14:paraId="63E3F463" w14:textId="77777777" w:rsidR="001B4DDE" w:rsidRPr="00CB0316" w:rsidRDefault="001B4DDE" w:rsidP="0009512E">
            <w:pPr>
              <w:pStyle w:val="NormalOCAshurst"/>
            </w:pPr>
            <w:r w:rsidRPr="00CB0316">
              <w:t>The relevant Issuer may issue Sustainable Securities comprising:</w:t>
            </w:r>
          </w:p>
          <w:p w14:paraId="3B2365A3" w14:textId="77777777" w:rsidR="001B4DDE" w:rsidRPr="00CB0316" w:rsidRDefault="001B4DDE" w:rsidP="0009512E">
            <w:pPr>
              <w:pStyle w:val="BulletOCAshurst"/>
              <w:tabs>
                <w:tab w:val="clear" w:pos="1561"/>
                <w:tab w:val="num" w:pos="709"/>
              </w:tabs>
              <w:ind w:left="709"/>
              <w:rPr>
                <w:rFonts w:ascii="Times New Roman" w:hAnsi="Times New Roman"/>
              </w:rPr>
            </w:pPr>
            <w:r w:rsidRPr="00CB0316">
              <w:rPr>
                <w:rFonts w:ascii="Times New Roman" w:hAnsi="Times New Roman"/>
              </w:rPr>
              <w:t>"Green Securities" where an amount equal to the net proceeds of such issuance will be allocated to fund Eligible Green Projects meeting certain eligibility criteria which may include green buildings, renewable and clean energy and sustainable transportation;</w:t>
            </w:r>
          </w:p>
          <w:p w14:paraId="57FEF8BA" w14:textId="77777777" w:rsidR="001B4DDE" w:rsidRPr="00CB0316" w:rsidRDefault="001B4DDE" w:rsidP="0009512E">
            <w:pPr>
              <w:pStyle w:val="BulletOCAshurst"/>
              <w:tabs>
                <w:tab w:val="clear" w:pos="1561"/>
                <w:tab w:val="num" w:pos="709"/>
              </w:tabs>
              <w:ind w:left="709"/>
              <w:rPr>
                <w:rFonts w:ascii="Times New Roman" w:hAnsi="Times New Roman"/>
              </w:rPr>
            </w:pPr>
            <w:r w:rsidRPr="00CB0316">
              <w:rPr>
                <w:rFonts w:ascii="Times New Roman" w:hAnsi="Times New Roman"/>
              </w:rPr>
              <w:t>"Social Securities" where an amount equal to the net proceeds of such issuance will be allocated to fund Eligible Social Projects meeting certain eligibility criteria which may include small businesses, affordable housing, home ownership, education and healthcare; and/or</w:t>
            </w:r>
          </w:p>
          <w:p w14:paraId="6B98E197" w14:textId="77777777" w:rsidR="001B4DDE" w:rsidRPr="00CB0316" w:rsidRDefault="001B4DDE" w:rsidP="0009512E">
            <w:pPr>
              <w:pStyle w:val="BulletOCAshurst"/>
              <w:tabs>
                <w:tab w:val="clear" w:pos="1561"/>
                <w:tab w:val="num" w:pos="709"/>
              </w:tabs>
              <w:ind w:left="709"/>
              <w:rPr>
                <w:rFonts w:ascii="Times New Roman" w:hAnsi="Times New Roman"/>
              </w:rPr>
            </w:pPr>
            <w:r w:rsidRPr="00CB0316">
              <w:rPr>
                <w:rFonts w:ascii="Times New Roman" w:hAnsi="Times New Roman"/>
              </w:rPr>
              <w:t>"Sustainability Securities" where an amount equal to the net proceeds of such issuance will be allocated to fund a combination of Eligible Green Projects and/or Eligible Social Projects.</w:t>
            </w:r>
          </w:p>
          <w:p w14:paraId="63135EE1" w14:textId="228DB26B" w:rsidR="001B4DDE" w:rsidRPr="00CB0316" w:rsidRDefault="001B4DDE" w:rsidP="0009512E">
            <w:pPr>
              <w:pStyle w:val="NormalOCAshurst"/>
            </w:pPr>
            <w:r w:rsidRPr="00CB0316">
              <w:t>The above is a summary only: see the section entitled "</w:t>
            </w:r>
            <w:r w:rsidRPr="00CB0316">
              <w:rPr>
                <w:i/>
                <w:iCs/>
              </w:rPr>
              <w:t>Information relating to Sustainable Securities</w:t>
            </w:r>
            <w:r w:rsidRPr="00CB0316">
              <w:t>"</w:t>
            </w:r>
            <w:r w:rsidRPr="00CB0316">
              <w:rPr>
                <w:i/>
                <w:iCs/>
              </w:rPr>
              <w:t xml:space="preserve"> </w:t>
            </w:r>
            <w:r w:rsidRPr="00CB0316">
              <w:t>of this Offering Circular and Risk Factor 5.16 (</w:t>
            </w:r>
            <w:r w:rsidRPr="00CB0316">
              <w:rPr>
                <w:i/>
                <w:iCs/>
              </w:rPr>
              <w:t>There are risks associated with Sustainable Securities</w:t>
            </w:r>
            <w:r w:rsidRPr="00CB0316">
              <w:t>).</w:t>
            </w:r>
            <w:r w:rsidR="00566162" w:rsidRPr="00CB0316">
              <w:t>"</w:t>
            </w:r>
          </w:p>
        </w:tc>
      </w:tr>
    </w:tbl>
    <w:p w14:paraId="75B985E1" w14:textId="7031018A" w:rsidR="00F116E5" w:rsidRPr="00CB0316" w:rsidRDefault="00F116E5" w:rsidP="001B4DDE">
      <w:pPr>
        <w:pStyle w:val="NormalOCAshurst"/>
        <w:numPr>
          <w:ilvl w:val="0"/>
          <w:numId w:val="41"/>
        </w:numPr>
        <w:ind w:left="709" w:hanging="709"/>
        <w:rPr>
          <w:b/>
        </w:rPr>
      </w:pPr>
      <w:r w:rsidRPr="00CB0316">
        <w:rPr>
          <w:b/>
        </w:rPr>
        <w:t>Amendments to the section entitled Risk Factors</w:t>
      </w:r>
    </w:p>
    <w:p w14:paraId="4CF9A0D7" w14:textId="7B13247C" w:rsidR="0027716B" w:rsidRPr="00CB0316" w:rsidRDefault="00A54EBF" w:rsidP="0027716B">
      <w:pPr>
        <w:pStyle w:val="NormalOCAshurst"/>
        <w:ind w:left="709"/>
        <w:rPr>
          <w:rFonts w:eastAsia="Microsoft JhengHei"/>
          <w:bCs/>
        </w:rPr>
      </w:pPr>
      <w:r w:rsidRPr="00CB0316">
        <w:rPr>
          <w:bCs/>
        </w:rPr>
        <w:t>Risk Factor 5.16(a) (</w:t>
      </w:r>
      <w:r w:rsidRPr="00CB0316">
        <w:rPr>
          <w:rFonts w:eastAsia="Microsoft JhengHei"/>
          <w:bCs/>
          <w:i/>
          <w:iCs/>
        </w:rPr>
        <w:t>The use of proceeds of the Sustainable Securities to finance Eligible Projects may not meet the investment objectives of an investor</w:t>
      </w:r>
      <w:r w:rsidRPr="00CB0316">
        <w:rPr>
          <w:rFonts w:eastAsia="Microsoft JhengHei"/>
          <w:bCs/>
        </w:rPr>
        <w:t xml:space="preserve">) on pages 104 to 106 of the Original Offering Circular shall be deleted and replaced with the following: </w:t>
      </w:r>
    </w:p>
    <w:p w14:paraId="6DC0D9EC" w14:textId="7765A6B7" w:rsidR="0092787D" w:rsidRPr="00CB0316" w:rsidRDefault="0027716B" w:rsidP="00EB665F">
      <w:pPr>
        <w:pStyle w:val="AltH3OCAshurst"/>
        <w:numPr>
          <w:ilvl w:val="0"/>
          <w:numId w:val="0"/>
        </w:numPr>
        <w:tabs>
          <w:tab w:val="clear" w:pos="2160"/>
        </w:tabs>
        <w:ind w:left="1276" w:hanging="567"/>
        <w:rPr>
          <w:b/>
          <w:bCs/>
          <w:i/>
          <w:iCs/>
        </w:rPr>
      </w:pPr>
      <w:r w:rsidRPr="00CB0316">
        <w:t>"</w:t>
      </w:r>
      <w:r w:rsidR="00EB665F" w:rsidRPr="00CB0316">
        <w:t>(a)</w:t>
      </w:r>
      <w:r w:rsidR="00A852DF" w:rsidRPr="00CB0316">
        <w:rPr>
          <w:b/>
          <w:bCs/>
          <w:i/>
          <w:iCs/>
        </w:rPr>
        <w:tab/>
      </w:r>
      <w:r w:rsidR="0092787D" w:rsidRPr="00CB0316">
        <w:rPr>
          <w:b/>
          <w:bCs/>
          <w:i/>
          <w:iCs/>
        </w:rPr>
        <w:t>The use of proceeds of the Sustainable Securities to finance Eligible Projects may not meet the investment objectives of an investor</w:t>
      </w:r>
    </w:p>
    <w:p w14:paraId="1A75217B" w14:textId="77777777" w:rsidR="0092787D" w:rsidRPr="00CB0316" w:rsidRDefault="0092787D" w:rsidP="00EB665F">
      <w:pPr>
        <w:pStyle w:val="Body2OCAshurst"/>
        <w:tabs>
          <w:tab w:val="clear" w:pos="709"/>
          <w:tab w:val="clear" w:pos="1276"/>
        </w:tabs>
        <w:ind w:left="1276"/>
        <w:rPr>
          <w:rFonts w:ascii="Times New Roman" w:hAnsi="Times New Roman"/>
        </w:rPr>
      </w:pPr>
      <w:r w:rsidRPr="00CB0316">
        <w:rPr>
          <w:rFonts w:ascii="Times New Roman" w:hAnsi="Times New Roman"/>
        </w:rPr>
        <w:t>JPMorgan Chase will exercise judgment and use its sole discretion in determining what constitutes an Eligible Project (as such term is defined in the section entitled "</w:t>
      </w:r>
      <w:r w:rsidRPr="00CB0316">
        <w:rPr>
          <w:rFonts w:ascii="Times New Roman" w:hAnsi="Times New Roman"/>
          <w:i/>
          <w:iCs/>
        </w:rPr>
        <w:t>Information relating to Sustainable Securities</w:t>
      </w:r>
      <w:r w:rsidRPr="00CB0316">
        <w:rPr>
          <w:rFonts w:ascii="Times New Roman" w:hAnsi="Times New Roman"/>
        </w:rPr>
        <w:t>" of this Offering Circular below). If the intended use of the net proceeds from the issuance of Sustainable Securities is a factor in your decision whether to invest in the Sustainable Securities, you should determine for yourself the relevance of the information set forth under the section entitled "</w:t>
      </w:r>
      <w:r w:rsidRPr="00CB0316">
        <w:rPr>
          <w:rFonts w:ascii="Times New Roman" w:hAnsi="Times New Roman"/>
          <w:i/>
          <w:iCs/>
        </w:rPr>
        <w:t>Information relating to Sustainable Securities</w:t>
      </w:r>
      <w:r w:rsidRPr="00CB0316">
        <w:rPr>
          <w:rFonts w:ascii="Times New Roman" w:hAnsi="Times New Roman"/>
        </w:rPr>
        <w:t>" of this Offering Circular and "</w:t>
      </w:r>
      <w:r w:rsidRPr="00CB0316">
        <w:rPr>
          <w:rFonts w:ascii="Times New Roman" w:hAnsi="Times New Roman"/>
          <w:i/>
          <w:iCs/>
        </w:rPr>
        <w:t>Use of Proceeds</w:t>
      </w:r>
      <w:r w:rsidRPr="00CB0316">
        <w:rPr>
          <w:rFonts w:ascii="Times New Roman" w:hAnsi="Times New Roman"/>
        </w:rPr>
        <w:t xml:space="preserve">" in the relevant Pricing Supplement, consult with your counsel or other advisors and undertake any other investigation you deem necessary before investing in the Sustainable Securities. JPMorgan Chase cannot assure you that the Eligible Projects that JPMorgan Chase selects for inclusion in the Sustainable Asset Portfolio (as defined herein), and to which proceeds from the issuance of the Sustainable Securities may be allocated, will at any time meet your expectations concerning direct or indirect environmental or sustainability benefits or impacts, expectations for sustainable finance products or any criteria or guidelines with which you may wish or be required to comply. In addition, the Eligible Projects may have complex environmental, social, sustainability and/or other impacts, and adverse environmental, social or sustainability impacts may occur during the construction or implementation of an Eligible Project. Furthermore, any Eligible Project may become controversial or criticised by activist groups or other stakeholders, which could adversely affect the return on, value of and market for the Sustainable Securities. </w:t>
      </w:r>
    </w:p>
    <w:p w14:paraId="1A923125" w14:textId="070F8FD5" w:rsidR="0092787D" w:rsidRPr="00CB0316" w:rsidRDefault="0092787D" w:rsidP="00EB665F">
      <w:pPr>
        <w:pStyle w:val="Body2OCAshurst"/>
        <w:tabs>
          <w:tab w:val="clear" w:pos="709"/>
          <w:tab w:val="clear" w:pos="1276"/>
        </w:tabs>
        <w:ind w:left="1276"/>
        <w:rPr>
          <w:rFonts w:ascii="Times New Roman" w:hAnsi="Times New Roman"/>
        </w:rPr>
      </w:pPr>
      <w:r w:rsidRPr="00CB0316">
        <w:rPr>
          <w:rFonts w:ascii="Times New Roman" w:hAnsi="Times New Roman"/>
        </w:rPr>
        <w:t xml:space="preserve">There is currently no universally accepted, global framework or definition (legal, regulatory or otherwise) of, nor market consensus as to what constitutes, an "ESG" (Environmental, Social or Governance), "green", "sustainable", "climate-friendly", "social" or an equivalently-labelled product or project, or as to what precise attributes are required for a particular investment, product, project or asset to be defined as "green", "sustainable", "climate-friendly", "social", "ESG" or such other equivalent label; nor can any assurance be given that such a globally accepted definition or </w:t>
      </w:r>
      <w:r w:rsidRPr="00CB0316">
        <w:rPr>
          <w:rFonts w:ascii="Times New Roman" w:hAnsi="Times New Roman"/>
        </w:rPr>
        <w:lastRenderedPageBreak/>
        <w:t>consensus will develop over time. In the EU, the EU Taxonomy Regulation ("</w:t>
      </w:r>
      <w:r w:rsidRPr="00CB0316">
        <w:rPr>
          <w:rFonts w:ascii="Times New Roman" w:hAnsi="Times New Roman"/>
          <w:b/>
          <w:bCs/>
        </w:rPr>
        <w:t>EU Taxonomy</w:t>
      </w:r>
      <w:r w:rsidRPr="00CB0316">
        <w:rPr>
          <w:rFonts w:ascii="Times New Roman" w:hAnsi="Times New Roman"/>
        </w:rPr>
        <w:t>") (Regulation (EU) 2020/852) establishes a classification system (or taxonomy) which seeks to provide a common basis to identify whether or not a given economic activity should be considered "environmentally sustainable". Also, the Sustainable Finance Disclosure Regulation ("</w:t>
      </w:r>
      <w:proofErr w:type="spellStart"/>
      <w:r w:rsidRPr="00CB0316">
        <w:rPr>
          <w:rFonts w:ascii="Times New Roman" w:hAnsi="Times New Roman"/>
          <w:b/>
          <w:bCs/>
        </w:rPr>
        <w:t>SFDR</w:t>
      </w:r>
      <w:proofErr w:type="spellEnd"/>
      <w:r w:rsidRPr="00CB0316">
        <w:rPr>
          <w:rFonts w:ascii="Times New Roman" w:hAnsi="Times New Roman"/>
        </w:rPr>
        <w:t xml:space="preserve">") (Regulation (EU) 2019/2088) sets out how financial market participants must disclose sustainability information including the criteria to qualify certain investment products or their holdings as "sustainable investments". However, this legislation is still developing (including through the passage of delegated acts) and the Securities do not take into account any of the EU criteria for environmentally sustainable investments as set out under the EU Taxonomy Regulation and do not qualify as "sustainable investments" under the </w:t>
      </w:r>
      <w:proofErr w:type="spellStart"/>
      <w:r w:rsidRPr="00CB0316">
        <w:rPr>
          <w:rFonts w:ascii="Times New Roman" w:hAnsi="Times New Roman"/>
        </w:rPr>
        <w:t>SFDR</w:t>
      </w:r>
      <w:proofErr w:type="spellEnd"/>
      <w:r w:rsidRPr="00CB0316">
        <w:rPr>
          <w:rFonts w:ascii="Times New Roman" w:hAnsi="Times New Roman"/>
        </w:rPr>
        <w:t>. Further, whilst the European Commission has proposed a regulation on a voluntary European Green Bond Standard ("</w:t>
      </w:r>
      <w:proofErr w:type="spellStart"/>
      <w:r w:rsidRPr="00CB0316">
        <w:rPr>
          <w:rFonts w:ascii="Times New Roman" w:hAnsi="Times New Roman"/>
          <w:b/>
          <w:bCs/>
        </w:rPr>
        <w:t>EUGBS</w:t>
      </w:r>
      <w:proofErr w:type="spellEnd"/>
      <w:r w:rsidRPr="00CB0316">
        <w:rPr>
          <w:rFonts w:ascii="Times New Roman" w:hAnsi="Times New Roman"/>
        </w:rPr>
        <w:t xml:space="preserve">"), the regulation has not yet been published and JPMorgan Chase does not currently intend for any Sustainable Securities to qualify under the </w:t>
      </w:r>
      <w:proofErr w:type="spellStart"/>
      <w:r w:rsidRPr="00CB0316">
        <w:rPr>
          <w:rFonts w:ascii="Times New Roman" w:hAnsi="Times New Roman"/>
        </w:rPr>
        <w:t>EUGBS</w:t>
      </w:r>
      <w:proofErr w:type="spellEnd"/>
      <w:r w:rsidRPr="00CB0316">
        <w:rPr>
          <w:rFonts w:ascii="Times New Roman" w:hAnsi="Times New Roman"/>
        </w:rPr>
        <w:t>. Save as specified in the section entitled "</w:t>
      </w:r>
      <w:r w:rsidRPr="00CB0316">
        <w:rPr>
          <w:rFonts w:ascii="Times New Roman" w:hAnsi="Times New Roman"/>
          <w:i/>
          <w:iCs/>
        </w:rPr>
        <w:t>Information relating to Sustainable Securities</w:t>
      </w:r>
      <w:r w:rsidRPr="00CB0316">
        <w:rPr>
          <w:rFonts w:ascii="Times New Roman" w:hAnsi="Times New Roman"/>
        </w:rPr>
        <w:t>" of this Offering Circular, the Sustainable Securities or the Eligible Projects are not intended to and no assurance is or can be given to investors that they satisfy, in whole or in part, any present or future "green", "sustainable", "climate-friendly", "social", "ESG", or equivalently-labelled certification, criteria, standard, guideline, taxonomy, label, voluntary guideline and/or other independent expectation with which an investor or its investments may be expected to comply or otherwise seeks to have. The value of and market for the Sustainable Securities may be negatively affected if any concerns should arise among investors or the market in general about the suitability of the Sustainable Securities as "green", "sustainable", "climate-friendly", "social" or equivalently-labelled bonds or if, more broadly, investor demand for "green", "sustainable", "climate-friendly", "social" or equivalently-labelled bonds diminishes due to evolving investor preferences, increased regulatory or market scrutiny of investments linked to environmental, social or sustainability objectives, or for other reasons.</w:t>
      </w:r>
    </w:p>
    <w:p w14:paraId="75741A86" w14:textId="77777777" w:rsidR="0092787D" w:rsidRPr="00CB0316" w:rsidRDefault="0092787D" w:rsidP="00EB665F">
      <w:pPr>
        <w:pStyle w:val="Body2OCAshurst"/>
        <w:tabs>
          <w:tab w:val="clear" w:pos="709"/>
          <w:tab w:val="clear" w:pos="1276"/>
        </w:tabs>
        <w:ind w:left="1276"/>
        <w:rPr>
          <w:rFonts w:ascii="Times New Roman" w:hAnsi="Times New Roman"/>
        </w:rPr>
      </w:pPr>
      <w:r w:rsidRPr="00CB0316">
        <w:rPr>
          <w:rFonts w:ascii="Times New Roman" w:hAnsi="Times New Roman"/>
        </w:rPr>
        <w:t xml:space="preserve">There is no assurance or representation given as to the suitability or reliability for any purpose whatsoever of any opinion or certification of any third party (whether or not solicited by JPMorgan Chase) that may be made available in connection with the issuance of the Sustainable Securities, in particular as it regards the ability of an Eligible Project to </w:t>
      </w:r>
      <w:proofErr w:type="spellStart"/>
      <w:r w:rsidRPr="00CB0316">
        <w:rPr>
          <w:rFonts w:ascii="Times New Roman" w:hAnsi="Times New Roman"/>
        </w:rPr>
        <w:t>fulfill</w:t>
      </w:r>
      <w:proofErr w:type="spellEnd"/>
      <w:r w:rsidRPr="00CB0316">
        <w:rPr>
          <w:rFonts w:ascii="Times New Roman" w:hAnsi="Times New Roman"/>
        </w:rPr>
        <w:t xml:space="preserve"> any environmental, social, sustainability or other criteria. No such opinion or certification is, nor should it be deemed to be, a recommendation by JPMorgan Chase, any agent, dealer or underwriter for the offering of the Sustainable Securities or any other person to buy, sell or hold any Sustainable Securities. Investors must determine for themselves the relevance of any such opinion or certification, the information contained therein and the provider of such opinion or certification for the purpose of any investment in the Sustainable Securities. To the knowledge of JPMorgan Chase, the providers of such opinions and certifications are not currently subject to any specific regulatory or other regime or oversight (however, the European Commission has published a proposal which, if eventually passed in its proposed form, would require such providers in the EU to be authorised by a European competent authority and be subject to a number of other obligations and requirements). In addition, any such provider, to the extent engaged by JPMorgan Chase, will receive compensation from JPMorgan Chase in connection with the issuance of any such opinion or certification, which could give rise to a conflict of interest for such provider. For the avoidance of doubt, no such opinion or certification is, or shall be deemed to be, incorporated into this Offering Circular.</w:t>
      </w:r>
    </w:p>
    <w:p w14:paraId="022A8ED4" w14:textId="77777777" w:rsidR="0092787D" w:rsidRPr="00CB0316" w:rsidRDefault="0092787D" w:rsidP="00EB665F">
      <w:pPr>
        <w:pStyle w:val="Body2OCAshurst"/>
        <w:tabs>
          <w:tab w:val="clear" w:pos="709"/>
          <w:tab w:val="clear" w:pos="1276"/>
        </w:tabs>
        <w:ind w:left="1276"/>
        <w:rPr>
          <w:rFonts w:ascii="Times New Roman" w:hAnsi="Times New Roman"/>
        </w:rPr>
      </w:pPr>
      <w:r w:rsidRPr="00CB0316">
        <w:rPr>
          <w:rFonts w:ascii="Times New Roman" w:hAnsi="Times New Roman"/>
        </w:rPr>
        <w:t>JPMorgan Chase has undertaken to allocate an amount equal to the net proceeds from the issuance of the Sustainable Securities to fund Eligible Projects. However, potential investors in Sustainable Securities should consider the following:</w:t>
      </w:r>
    </w:p>
    <w:p w14:paraId="35B61024" w14:textId="77777777" w:rsidR="0092787D" w:rsidRPr="00CB0316" w:rsidRDefault="0092787D" w:rsidP="00EB665F">
      <w:pPr>
        <w:pStyle w:val="BulletOCAshurst"/>
        <w:tabs>
          <w:tab w:val="clear" w:pos="1561"/>
          <w:tab w:val="num" w:pos="1843"/>
        </w:tabs>
        <w:ind w:left="1843" w:hanging="567"/>
        <w:rPr>
          <w:rFonts w:ascii="Times New Roman" w:hAnsi="Times New Roman"/>
        </w:rPr>
      </w:pPr>
      <w:r w:rsidRPr="00CB0316">
        <w:rPr>
          <w:rFonts w:ascii="Times New Roman" w:hAnsi="Times New Roman"/>
        </w:rPr>
        <w:t>there can be no assurance that the net proceeds from the issuance of the Sustainable Securities will be promptly allocated to fund Eligible Projects in accordance with any timing schedule and, pending allocation, may be invested temporarily in cash, cash equivalents and/or other high quality liquid assets;</w:t>
      </w:r>
    </w:p>
    <w:p w14:paraId="2496069B" w14:textId="77777777" w:rsidR="0092787D" w:rsidRPr="00CB0316" w:rsidRDefault="0092787D" w:rsidP="00EB665F">
      <w:pPr>
        <w:pStyle w:val="BulletOCAshurst"/>
        <w:tabs>
          <w:tab w:val="clear" w:pos="1561"/>
          <w:tab w:val="num" w:pos="1843"/>
        </w:tabs>
        <w:ind w:left="1843" w:hanging="567"/>
        <w:rPr>
          <w:rFonts w:ascii="Times New Roman" w:hAnsi="Times New Roman"/>
        </w:rPr>
      </w:pPr>
      <w:r w:rsidRPr="00CB0316">
        <w:rPr>
          <w:rFonts w:ascii="Times New Roman" w:hAnsi="Times New Roman"/>
        </w:rPr>
        <w:t>Eligible Projects may be included in the Sustainable Asset Portfolio for up to 24 months from the date of JPMorgan Chase's financing, investment or disbursement of funds for such projects. Accordingly, any or all of the net proceeds from the relevant Sustainable Securities offered may be allocated to existing Eligible Projects and not to any new or future Eligible Projects;</w:t>
      </w:r>
    </w:p>
    <w:p w14:paraId="2A882467" w14:textId="77777777" w:rsidR="0092787D" w:rsidRPr="00CB0316" w:rsidRDefault="0092787D" w:rsidP="00EB665F">
      <w:pPr>
        <w:pStyle w:val="BulletOCAshurst"/>
        <w:tabs>
          <w:tab w:val="clear" w:pos="1561"/>
          <w:tab w:val="num" w:pos="1843"/>
        </w:tabs>
        <w:ind w:left="1843" w:hanging="567"/>
        <w:rPr>
          <w:rFonts w:ascii="Times New Roman" w:hAnsi="Times New Roman"/>
        </w:rPr>
      </w:pPr>
      <w:r w:rsidRPr="00CB0316">
        <w:rPr>
          <w:rFonts w:ascii="Times New Roman" w:hAnsi="Times New Roman"/>
        </w:rPr>
        <w:lastRenderedPageBreak/>
        <w:t>JPMorgan Chase has considerable flexibility in allocating the net proceeds from the Sustainable Securities, including reallocating the net proceeds if it determines in its sole discretion that any project receiving an allocation no longer meets JPMorgan Chase's criteria for Eligible Projects;</w:t>
      </w:r>
    </w:p>
    <w:p w14:paraId="43E950D2" w14:textId="77777777" w:rsidR="0092787D" w:rsidRPr="00CB0316" w:rsidRDefault="0092787D" w:rsidP="00EB665F">
      <w:pPr>
        <w:pStyle w:val="BulletOCAshurst"/>
        <w:tabs>
          <w:tab w:val="clear" w:pos="1561"/>
          <w:tab w:val="num" w:pos="1843"/>
        </w:tabs>
        <w:ind w:left="1843" w:hanging="567"/>
        <w:rPr>
          <w:rFonts w:ascii="Times New Roman" w:hAnsi="Times New Roman"/>
        </w:rPr>
      </w:pPr>
      <w:r w:rsidRPr="00CB0316">
        <w:rPr>
          <w:rFonts w:ascii="Times New Roman" w:hAnsi="Times New Roman"/>
        </w:rPr>
        <w:t>while JPMorgan Chase will not knowingly allocate proceeds from the issuance of Sustainable Securities to certain activities (see the section entitled "</w:t>
      </w:r>
      <w:r w:rsidRPr="00CB0316">
        <w:rPr>
          <w:rFonts w:ascii="Times New Roman" w:hAnsi="Times New Roman"/>
          <w:i/>
          <w:iCs/>
        </w:rPr>
        <w:t>Information relating to Sustainable Securities – Excluded Activities</w:t>
      </w:r>
      <w:r w:rsidRPr="00CB0316">
        <w:rPr>
          <w:rFonts w:ascii="Times New Roman" w:hAnsi="Times New Roman"/>
        </w:rPr>
        <w:t>" of this Offering Circular), JPMorgan Chase has absolute discretion in determining whether or not any particular potential Eligible Project includes any such activities and it is possible that the circumstances may be unclear or ambiguous as to whether any such activities are taking place or are present in the relevant project; and</w:t>
      </w:r>
    </w:p>
    <w:p w14:paraId="68CE541D" w14:textId="77777777" w:rsidR="0092787D" w:rsidRPr="00CB0316" w:rsidRDefault="0092787D" w:rsidP="00EB665F">
      <w:pPr>
        <w:pStyle w:val="BulletOCAshurst"/>
        <w:tabs>
          <w:tab w:val="clear" w:pos="1561"/>
          <w:tab w:val="num" w:pos="1843"/>
        </w:tabs>
        <w:ind w:left="1843" w:hanging="567"/>
        <w:rPr>
          <w:rFonts w:ascii="Times New Roman" w:hAnsi="Times New Roman"/>
        </w:rPr>
      </w:pPr>
      <w:r w:rsidRPr="00CB0316">
        <w:rPr>
          <w:rFonts w:ascii="Times New Roman" w:hAnsi="Times New Roman"/>
        </w:rPr>
        <w:t>there can be no assurance that any Eligible Projects will be completed within any specified time period or at all, or that such Eligible Projects will achieve the results or outcome, environmental, social or otherwise, originally expected or anticipated by JPMorgan Chase or as contemplated by the information set forth under the section entitled "</w:t>
      </w:r>
      <w:r w:rsidRPr="00CB0316">
        <w:rPr>
          <w:rFonts w:ascii="Times New Roman" w:hAnsi="Times New Roman"/>
          <w:i/>
          <w:iCs/>
        </w:rPr>
        <w:t>Information relating to Sustainable Securities</w:t>
      </w:r>
      <w:r w:rsidRPr="00CB0316">
        <w:rPr>
          <w:rFonts w:ascii="Times New Roman" w:hAnsi="Times New Roman"/>
        </w:rPr>
        <w:t>" of this Offering Circular.</w:t>
      </w:r>
    </w:p>
    <w:p w14:paraId="4E7DD5D8" w14:textId="77777777" w:rsidR="0092787D" w:rsidRPr="00CB0316" w:rsidRDefault="0092787D" w:rsidP="00EB665F">
      <w:pPr>
        <w:pStyle w:val="Body2OCAshurst"/>
        <w:tabs>
          <w:tab w:val="clear" w:pos="709"/>
          <w:tab w:val="clear" w:pos="1276"/>
        </w:tabs>
        <w:ind w:left="1276"/>
        <w:rPr>
          <w:rFonts w:ascii="Times New Roman" w:hAnsi="Times New Roman"/>
        </w:rPr>
      </w:pPr>
      <w:r w:rsidRPr="00CB0316">
        <w:rPr>
          <w:rFonts w:ascii="Times New Roman" w:hAnsi="Times New Roman"/>
        </w:rPr>
        <w:t>In the event any Sustainable Securities are listed or admitted to trading on any dedicated "green", "environmental", "sustainable" or other equivalently-labelled segment of any stock exchange or securities market (whether or not regulated), no assurance or representation is given by JPMorgan Chase, any dealer or any other person that such listing or admission satisfies, whether in whole or in part, the expectations of investors concerning environmental, social or sustainability benefits, expectations for sustainable finance products or any criteria or guidelines with which an investor may be required to comply. Furthermore, it should be noted that the criteria for any such listings or admission to trading may vary from one stock exchange or securities market to another. No assurance or representation is given by JPMorgan Chase, any dealer or any other person that any such listing or admission to trading will be obtained in respect of any Sustainable Securities or, if obtained, that any such listing or admission to trading will be maintained during the life of the relevant Sustainable Securities.</w:t>
      </w:r>
    </w:p>
    <w:p w14:paraId="4C819C3B" w14:textId="7EE159B4" w:rsidR="0092787D" w:rsidRPr="00CB0316" w:rsidRDefault="0092787D" w:rsidP="00EB665F">
      <w:pPr>
        <w:pStyle w:val="Body2OCAshurst"/>
        <w:tabs>
          <w:tab w:val="clear" w:pos="709"/>
          <w:tab w:val="clear" w:pos="1276"/>
        </w:tabs>
        <w:ind w:left="1276"/>
        <w:rPr>
          <w:rFonts w:ascii="Times New Roman" w:hAnsi="Times New Roman"/>
        </w:rPr>
      </w:pPr>
      <w:r w:rsidRPr="00CB0316">
        <w:rPr>
          <w:rFonts w:ascii="Times New Roman" w:hAnsi="Times New Roman"/>
        </w:rPr>
        <w:t>Any failure of Eligible Projects to achieve the results or outcome originally expected or anticipated by JPMorgan Chase or investors, any termination of any listing or admission to trading of any Sustainable Securities on any dedicated "green", "environmental", "sustainable" or other equivalently-labelled segment of any stock exchange or securities market, any withdrawal of any opinion or certification of a third party or any attestation regarding JPMorgan Chase's complying in whole or in part with any matters subject to such opinion, certification or attestation, or any change in demand for sustainability- or green- or social-themed investment products may have a material adverse effect on the return on, value of and market for the Sustainable Securities and may result in adverse consequences for investors, especially those with portfolio mandates to invest in securities to be used for a particular purpose. Further, none of such events will constitute an Event of Default under the Conditions of the Sustainable Securities or give rise to any claim by a Holder of the Sustainable Securities against JPMorgan Chase.</w:t>
      </w:r>
      <w:r w:rsidR="0027716B" w:rsidRPr="00CB0316">
        <w:rPr>
          <w:rFonts w:ascii="Times New Roman" w:hAnsi="Times New Roman"/>
        </w:rPr>
        <w:t>"</w:t>
      </w:r>
    </w:p>
    <w:p w14:paraId="00B925BA" w14:textId="77777777" w:rsidR="00C939D9" w:rsidRPr="00CB0316" w:rsidRDefault="00C939D9" w:rsidP="00C939D9">
      <w:pPr>
        <w:pStyle w:val="ListParagraph"/>
        <w:numPr>
          <w:ilvl w:val="0"/>
          <w:numId w:val="41"/>
        </w:numPr>
        <w:suppressAutoHyphens/>
        <w:spacing w:after="220" w:line="288" w:lineRule="auto"/>
        <w:ind w:left="709" w:hanging="709"/>
        <w:rPr>
          <w:rFonts w:ascii="Times New Roman" w:hAnsi="Times New Roman"/>
          <w:b/>
          <w:sz w:val="20"/>
          <w:szCs w:val="20"/>
        </w:rPr>
      </w:pPr>
      <w:r w:rsidRPr="00CB0316">
        <w:rPr>
          <w:rFonts w:ascii="Times New Roman" w:hAnsi="Times New Roman"/>
          <w:b/>
          <w:sz w:val="20"/>
          <w:szCs w:val="20"/>
        </w:rPr>
        <w:t>Amendments to the section entitled General Description of the Programme</w:t>
      </w:r>
    </w:p>
    <w:p w14:paraId="59E9058B" w14:textId="77777777" w:rsidR="00C939D9" w:rsidRPr="00CB0316" w:rsidRDefault="00C939D9" w:rsidP="00C939D9">
      <w:pPr>
        <w:spacing w:line="288" w:lineRule="auto"/>
        <w:ind w:left="709"/>
        <w:rPr>
          <w:rFonts w:ascii="Times New Roman" w:hAnsi="Times New Roman"/>
          <w:bCs/>
          <w:sz w:val="20"/>
          <w:szCs w:val="20"/>
        </w:rPr>
      </w:pPr>
      <w:r w:rsidRPr="00CB0316">
        <w:rPr>
          <w:rFonts w:ascii="Times New Roman" w:hAnsi="Times New Roman"/>
          <w:bCs/>
          <w:sz w:val="20"/>
          <w:szCs w:val="20"/>
        </w:rPr>
        <w:t>The last paragraph of subsection 2 (</w:t>
      </w:r>
      <w:r w:rsidRPr="00CB0316">
        <w:rPr>
          <w:rFonts w:ascii="Times New Roman" w:hAnsi="Times New Roman"/>
          <w:bCs/>
          <w:i/>
          <w:iCs/>
          <w:sz w:val="20"/>
          <w:szCs w:val="20"/>
        </w:rPr>
        <w:t>Types of Securities</w:t>
      </w:r>
      <w:r w:rsidRPr="00CB0316">
        <w:rPr>
          <w:rFonts w:ascii="Times New Roman" w:hAnsi="Times New Roman"/>
          <w:bCs/>
          <w:sz w:val="20"/>
          <w:szCs w:val="20"/>
        </w:rPr>
        <w:t xml:space="preserve">) in the section entitled "General Description of the Programme" on page 162 of the Original Offering Circular shall be deleted and replaced with the following: </w:t>
      </w:r>
    </w:p>
    <w:p w14:paraId="5B868F72" w14:textId="77777777" w:rsidR="00C939D9" w:rsidRPr="00CB0316" w:rsidRDefault="00C939D9" w:rsidP="00C939D9">
      <w:pPr>
        <w:spacing w:line="288" w:lineRule="auto"/>
        <w:ind w:left="709"/>
        <w:rPr>
          <w:rFonts w:ascii="Times New Roman" w:hAnsi="Times New Roman"/>
          <w:bCs/>
          <w:sz w:val="20"/>
          <w:szCs w:val="20"/>
        </w:rPr>
      </w:pPr>
    </w:p>
    <w:p w14:paraId="5439E792" w14:textId="77777777" w:rsidR="00C939D9" w:rsidRPr="00CB0316" w:rsidRDefault="00C939D9" w:rsidP="00C939D9">
      <w:pPr>
        <w:pStyle w:val="Body2OCAshurst"/>
        <w:rPr>
          <w:rFonts w:ascii="Times New Roman" w:hAnsi="Times New Roman"/>
        </w:rPr>
      </w:pPr>
      <w:r w:rsidRPr="00CB0316">
        <w:rPr>
          <w:rFonts w:ascii="Times New Roman" w:hAnsi="Times New Roman"/>
        </w:rPr>
        <w:t>"The relevant Issuer may also issue Sustainable Securities comprising:</w:t>
      </w:r>
    </w:p>
    <w:p w14:paraId="4C75C01A" w14:textId="77777777" w:rsidR="00C939D9" w:rsidRPr="00CB0316" w:rsidRDefault="00C939D9" w:rsidP="00C939D9">
      <w:pPr>
        <w:pStyle w:val="BulletOCAshurst"/>
        <w:tabs>
          <w:tab w:val="clear" w:pos="1561"/>
          <w:tab w:val="num" w:pos="1276"/>
        </w:tabs>
        <w:ind w:left="1276" w:hanging="567"/>
        <w:rPr>
          <w:rFonts w:ascii="Times New Roman" w:hAnsi="Times New Roman"/>
        </w:rPr>
      </w:pPr>
      <w:r w:rsidRPr="00CB0316">
        <w:rPr>
          <w:rFonts w:ascii="Times New Roman" w:hAnsi="Times New Roman"/>
        </w:rPr>
        <w:t>"Green Securities" where an amount equal to the net proceeds of such issuance will be allocated to fund Eligible Green Projects meeting certain eligibility criteria which may include green buildings, renewable and clean energy and sustainable transportation;</w:t>
      </w:r>
    </w:p>
    <w:p w14:paraId="5C578D25" w14:textId="77777777" w:rsidR="00C939D9" w:rsidRPr="00CB0316" w:rsidRDefault="00C939D9" w:rsidP="00C939D9">
      <w:pPr>
        <w:pStyle w:val="BulletOCAshurst"/>
        <w:tabs>
          <w:tab w:val="clear" w:pos="1561"/>
          <w:tab w:val="num" w:pos="1276"/>
        </w:tabs>
        <w:ind w:left="1276" w:hanging="567"/>
        <w:rPr>
          <w:rFonts w:ascii="Times New Roman" w:hAnsi="Times New Roman"/>
        </w:rPr>
      </w:pPr>
      <w:r w:rsidRPr="00CB0316">
        <w:rPr>
          <w:rFonts w:ascii="Times New Roman" w:hAnsi="Times New Roman"/>
        </w:rPr>
        <w:t>"Social Securities" where an amount equal to the net proceeds of such issuance will be allocated to fund Eligible Social Projects meeting certain eligibility criteria which may include small businesses, affordable housing, home ownership, education and healthcare; and/or</w:t>
      </w:r>
    </w:p>
    <w:p w14:paraId="25CEAD45" w14:textId="77777777" w:rsidR="00C939D9" w:rsidRPr="00CB0316" w:rsidRDefault="00C939D9" w:rsidP="00C939D9">
      <w:pPr>
        <w:pStyle w:val="BulletOCAshurst"/>
        <w:tabs>
          <w:tab w:val="clear" w:pos="1561"/>
          <w:tab w:val="num" w:pos="1276"/>
        </w:tabs>
        <w:ind w:left="1276" w:hanging="567"/>
        <w:rPr>
          <w:rFonts w:ascii="Times New Roman" w:hAnsi="Times New Roman"/>
        </w:rPr>
      </w:pPr>
      <w:r w:rsidRPr="00CB0316">
        <w:rPr>
          <w:rFonts w:ascii="Times New Roman" w:hAnsi="Times New Roman"/>
        </w:rPr>
        <w:lastRenderedPageBreak/>
        <w:t>"Sustainability Securities" where an amount equal to the net proceeds of such issuance will be allocated to fund a combination of Eligible Green Projects and/or Eligible Social Projects,</w:t>
      </w:r>
    </w:p>
    <w:p w14:paraId="04D9E7F8" w14:textId="77777777" w:rsidR="00C939D9" w:rsidRPr="00CB0316" w:rsidRDefault="00C939D9" w:rsidP="00C939D9">
      <w:pPr>
        <w:pStyle w:val="Body2OCAshurst"/>
        <w:rPr>
          <w:rFonts w:ascii="Times New Roman" w:hAnsi="Times New Roman"/>
        </w:rPr>
      </w:pPr>
      <w:r w:rsidRPr="00CB0316">
        <w:rPr>
          <w:rFonts w:ascii="Times New Roman" w:hAnsi="Times New Roman"/>
        </w:rPr>
        <w:t>as described in the section entitled "</w:t>
      </w:r>
      <w:r w:rsidRPr="00CB0316">
        <w:rPr>
          <w:rFonts w:ascii="Times New Roman" w:hAnsi="Times New Roman"/>
          <w:i/>
          <w:iCs/>
        </w:rPr>
        <w:t>Information relating to Sustainable Securities</w:t>
      </w:r>
      <w:r w:rsidRPr="00CB0316">
        <w:rPr>
          <w:rFonts w:ascii="Times New Roman" w:hAnsi="Times New Roman"/>
        </w:rPr>
        <w:t>" of this Offering Circular."</w:t>
      </w:r>
    </w:p>
    <w:p w14:paraId="38ED4EAA" w14:textId="115F03ED" w:rsidR="00AE48C8" w:rsidRPr="00CB0316" w:rsidRDefault="00AE48C8" w:rsidP="00C515B4">
      <w:pPr>
        <w:pStyle w:val="NormalOCAshurst"/>
        <w:numPr>
          <w:ilvl w:val="0"/>
          <w:numId w:val="41"/>
        </w:numPr>
        <w:ind w:left="709" w:hanging="709"/>
        <w:rPr>
          <w:b/>
        </w:rPr>
      </w:pPr>
      <w:r w:rsidRPr="00CB0316">
        <w:rPr>
          <w:b/>
        </w:rPr>
        <w:t xml:space="preserve">Amendments to the section entitled General Conditions </w:t>
      </w:r>
    </w:p>
    <w:p w14:paraId="02EFAF98" w14:textId="33C805C3" w:rsidR="00AE48C8" w:rsidRPr="00CB0316" w:rsidRDefault="00AE48C8" w:rsidP="00F116E5">
      <w:pPr>
        <w:pStyle w:val="NormalOCAshurst"/>
        <w:ind w:left="709"/>
        <w:rPr>
          <w:bCs/>
        </w:rPr>
      </w:pPr>
      <w:r w:rsidRPr="00CB0316">
        <w:rPr>
          <w:bCs/>
        </w:rPr>
        <w:t>General Condition 23.2 (</w:t>
      </w:r>
      <w:r w:rsidRPr="00CB0316">
        <w:rPr>
          <w:bCs/>
          <w:i/>
          <w:iCs/>
        </w:rPr>
        <w:t>Rounding</w:t>
      </w:r>
      <w:r w:rsidRPr="00CB0316">
        <w:rPr>
          <w:bCs/>
        </w:rPr>
        <w:t xml:space="preserve">) on page </w:t>
      </w:r>
      <w:r w:rsidR="00F116E5" w:rsidRPr="00CB0316">
        <w:rPr>
          <w:bCs/>
        </w:rPr>
        <w:t>321</w:t>
      </w:r>
      <w:r w:rsidRPr="00CB0316">
        <w:rPr>
          <w:bCs/>
        </w:rPr>
        <w:t xml:space="preserve"> of the Original </w:t>
      </w:r>
      <w:r w:rsidR="00F116E5" w:rsidRPr="00CB0316">
        <w:rPr>
          <w:bCs/>
        </w:rPr>
        <w:t>Offering Circular</w:t>
      </w:r>
      <w:r w:rsidRPr="00CB0316">
        <w:rPr>
          <w:bCs/>
        </w:rPr>
        <w:t xml:space="preserve"> shall be deleted and replaced with the following:</w:t>
      </w:r>
    </w:p>
    <w:p w14:paraId="70560961" w14:textId="41EB217B" w:rsidR="0076470E" w:rsidRPr="00CB0316" w:rsidRDefault="00C35530" w:rsidP="00EB665F">
      <w:pPr>
        <w:pStyle w:val="NormalOCAshurst"/>
        <w:ind w:left="1276" w:hanging="567"/>
        <w:rPr>
          <w:bCs/>
        </w:rPr>
      </w:pPr>
      <w:r w:rsidRPr="00CB0316">
        <w:t>"23.2</w:t>
      </w:r>
      <w:r w:rsidR="0073394C" w:rsidRPr="00CB0316">
        <w:tab/>
      </w:r>
      <w:r w:rsidRPr="00CB0316">
        <w:rPr>
          <w:bCs/>
        </w:rPr>
        <w:t>Notwithstanding anything to the contrary in the Conditions or the Agency Agreement, in respect of each Security which is not in definitive form (and save where a Fixed Coupon Amount or other specific amounts is expressed to be payable in respect of a Specified Denomination or Notional Amount or number of Securities (as applicable)), the entitlement to and calculation of each amount payable in cash in respect of such Security shall be based on the aggregate nominal amount or aggregate notional amount (as applicable) of all Securities of that Series outstanding on such date (or the relevant affected portion thereof (and not the Specified Denomination or Notional Amount (as applicable))), rounded in accordance with the method provided in General Condition 23.1 above and distributed in accordance with the Relevant Rules."</w:t>
      </w:r>
    </w:p>
    <w:p w14:paraId="21FA8932" w14:textId="77777777" w:rsidR="00B110CF" w:rsidRPr="00CB0316" w:rsidRDefault="00B110CF" w:rsidP="00C515B4">
      <w:pPr>
        <w:pStyle w:val="ListParagraph"/>
        <w:numPr>
          <w:ilvl w:val="0"/>
          <w:numId w:val="41"/>
        </w:numPr>
        <w:spacing w:line="288" w:lineRule="auto"/>
        <w:ind w:left="709" w:hanging="709"/>
        <w:rPr>
          <w:rFonts w:ascii="Times New Roman" w:hAnsi="Times New Roman"/>
          <w:b/>
          <w:sz w:val="20"/>
          <w:szCs w:val="20"/>
        </w:rPr>
      </w:pPr>
      <w:r w:rsidRPr="00CB0316">
        <w:rPr>
          <w:rFonts w:ascii="Times New Roman" w:hAnsi="Times New Roman"/>
          <w:b/>
          <w:sz w:val="20"/>
          <w:szCs w:val="20"/>
        </w:rPr>
        <w:t>Amendments to the section entitled Form of Pricing Supplement</w:t>
      </w:r>
    </w:p>
    <w:p w14:paraId="236E06AD" w14:textId="77777777" w:rsidR="00B110CF" w:rsidRPr="00CB0316" w:rsidRDefault="00B110CF" w:rsidP="00B110CF">
      <w:pPr>
        <w:pStyle w:val="ListParagraph"/>
        <w:spacing w:line="288" w:lineRule="auto"/>
        <w:ind w:left="709"/>
        <w:rPr>
          <w:rFonts w:ascii="Times New Roman" w:hAnsi="Times New Roman"/>
          <w:b/>
          <w:sz w:val="20"/>
          <w:szCs w:val="20"/>
        </w:rPr>
      </w:pPr>
    </w:p>
    <w:p w14:paraId="4F02E793" w14:textId="7581CE0B" w:rsidR="00B110CF" w:rsidRPr="00CB0316" w:rsidRDefault="00B110CF" w:rsidP="00E25AC1">
      <w:pPr>
        <w:pStyle w:val="ListParagraph"/>
        <w:numPr>
          <w:ilvl w:val="0"/>
          <w:numId w:val="42"/>
        </w:numPr>
        <w:spacing w:line="288" w:lineRule="auto"/>
        <w:ind w:left="709" w:hanging="709"/>
        <w:rPr>
          <w:rFonts w:ascii="Times New Roman" w:hAnsi="Times New Roman"/>
          <w:bCs/>
          <w:sz w:val="20"/>
          <w:szCs w:val="20"/>
        </w:rPr>
      </w:pPr>
      <w:r w:rsidRPr="00CB0316">
        <w:rPr>
          <w:rFonts w:ascii="Times New Roman" w:hAnsi="Times New Roman"/>
          <w:bCs/>
          <w:sz w:val="20"/>
          <w:szCs w:val="20"/>
        </w:rPr>
        <w:t>The cover page of the Form of Pricing Supplement shall be amended by deleting the paragraph beginning with "</w:t>
      </w:r>
      <w:r w:rsidRPr="00CB0316">
        <w:rPr>
          <w:rFonts w:ascii="Times New Roman" w:hAnsi="Times New Roman"/>
          <w:sz w:val="20"/>
          <w:szCs w:val="20"/>
        </w:rPr>
        <w:t>[</w:t>
      </w:r>
      <w:r w:rsidRPr="00CB0316">
        <w:rPr>
          <w:rFonts w:ascii="Times New Roman" w:hAnsi="Times New Roman"/>
          <w:i/>
          <w:iCs/>
          <w:sz w:val="20"/>
          <w:szCs w:val="20"/>
        </w:rPr>
        <w:t>Include for all Securities which may include any ESG considerations</w:t>
      </w:r>
      <w:r w:rsidRPr="00CB0316">
        <w:rPr>
          <w:rFonts w:ascii="Times New Roman" w:hAnsi="Times New Roman"/>
          <w:sz w:val="20"/>
          <w:szCs w:val="20"/>
        </w:rPr>
        <w:t>:</w:t>
      </w:r>
      <w:r w:rsidRPr="00CB0316">
        <w:rPr>
          <w:rFonts w:ascii="Times New Roman" w:hAnsi="Times New Roman"/>
          <w:bCs/>
          <w:sz w:val="20"/>
          <w:szCs w:val="20"/>
        </w:rPr>
        <w:t xml:space="preserve">" on page </w:t>
      </w:r>
      <w:r w:rsidR="005F122A" w:rsidRPr="00CB0316">
        <w:rPr>
          <w:rFonts w:ascii="Times New Roman" w:hAnsi="Times New Roman"/>
          <w:bCs/>
          <w:sz w:val="20"/>
          <w:szCs w:val="20"/>
        </w:rPr>
        <w:t>522</w:t>
      </w:r>
      <w:r w:rsidRPr="00CB0316">
        <w:rPr>
          <w:rFonts w:ascii="Times New Roman" w:hAnsi="Times New Roman"/>
          <w:bCs/>
          <w:sz w:val="20"/>
          <w:szCs w:val="20"/>
        </w:rPr>
        <w:t xml:space="preserve"> of the Original Offering Circular and replacing it with the following:  </w:t>
      </w:r>
    </w:p>
    <w:p w14:paraId="3D7ACC3E" w14:textId="77777777" w:rsidR="00B110CF" w:rsidRPr="00CB0316" w:rsidRDefault="00B110CF" w:rsidP="00B110CF">
      <w:pPr>
        <w:pStyle w:val="ListParagraph"/>
        <w:spacing w:line="288" w:lineRule="auto"/>
        <w:ind w:left="709"/>
        <w:rPr>
          <w:rFonts w:ascii="Times New Roman" w:hAnsi="Times New Roman"/>
          <w:bCs/>
          <w:sz w:val="20"/>
          <w:szCs w:val="20"/>
        </w:rPr>
      </w:pPr>
    </w:p>
    <w:p w14:paraId="2AFA3832" w14:textId="6340EA46" w:rsidR="00B110CF" w:rsidRPr="00CB0316" w:rsidRDefault="00B110CF" w:rsidP="00B110CF">
      <w:pPr>
        <w:pStyle w:val="ListParagraph"/>
        <w:spacing w:line="288" w:lineRule="auto"/>
        <w:ind w:left="709"/>
        <w:rPr>
          <w:rFonts w:ascii="Times New Roman" w:hAnsi="Times New Roman"/>
          <w:sz w:val="20"/>
          <w:szCs w:val="20"/>
        </w:rPr>
      </w:pPr>
      <w:r w:rsidRPr="00CB0316">
        <w:rPr>
          <w:rFonts w:ascii="Times New Roman" w:hAnsi="Times New Roman"/>
          <w:sz w:val="20"/>
          <w:szCs w:val="20"/>
        </w:rPr>
        <w:t>"[</w:t>
      </w:r>
      <w:r w:rsidRPr="00CB0316">
        <w:rPr>
          <w:rFonts w:ascii="Times New Roman" w:hAnsi="Times New Roman"/>
          <w:i/>
          <w:iCs/>
          <w:sz w:val="20"/>
          <w:szCs w:val="20"/>
        </w:rPr>
        <w:t>Include for all Securities which may include any ESG considerations</w:t>
      </w:r>
      <w:r w:rsidRPr="00CB0316">
        <w:rPr>
          <w:rFonts w:ascii="Times New Roman" w:hAnsi="Times New Roman"/>
          <w:sz w:val="20"/>
          <w:szCs w:val="20"/>
        </w:rPr>
        <w:t xml:space="preserve">: </w:t>
      </w:r>
      <w:r w:rsidR="0083502D" w:rsidRPr="00CB0316">
        <w:rPr>
          <w:rFonts w:ascii="Times New Roman" w:eastAsia="Microsoft JhengHei" w:hAnsi="Times New Roman"/>
          <w:sz w:val="20"/>
          <w:szCs w:val="20"/>
          <w:lang w:eastAsia="zh-TW"/>
        </w:rPr>
        <w:t>There is currently no universally accepted, global framework or definition (legal, regulatory or otherwise) of, nor market consensus as to what constitutes a "green", "sustainable", "climate-friendly", "social", "ESG" (Environmental, Social or Governance) or an equivalently-labelled product or project, or as to what precise attributes are required for a particular investment, product, project or asset to be defined as "green", "sustainable", "climate-friendly", "social", "ESG" or such other equivalent label; nor can any assurance be given that such a globally accepted definition or consensus will develop over time.</w:t>
      </w:r>
      <w:r w:rsidRPr="00CB0316">
        <w:rPr>
          <w:rFonts w:ascii="Times New Roman" w:hAnsi="Times New Roman"/>
          <w:sz w:val="20"/>
          <w:szCs w:val="20"/>
        </w:rPr>
        <w:t>"</w:t>
      </w:r>
    </w:p>
    <w:p w14:paraId="5C4AAF8D" w14:textId="77777777" w:rsidR="00B110CF" w:rsidRPr="00CB0316" w:rsidRDefault="00B110CF" w:rsidP="00B110CF">
      <w:pPr>
        <w:pStyle w:val="ListParagraph"/>
        <w:spacing w:line="288" w:lineRule="auto"/>
        <w:ind w:left="709"/>
        <w:rPr>
          <w:rFonts w:ascii="Times New Roman" w:hAnsi="Times New Roman"/>
          <w:sz w:val="20"/>
          <w:szCs w:val="20"/>
        </w:rPr>
      </w:pPr>
    </w:p>
    <w:p w14:paraId="383DA8D0" w14:textId="23F0C122" w:rsidR="00B110CF" w:rsidRPr="00CB0316" w:rsidRDefault="00B110CF" w:rsidP="00E25AC1">
      <w:pPr>
        <w:pStyle w:val="ListParagraph"/>
        <w:numPr>
          <w:ilvl w:val="0"/>
          <w:numId w:val="42"/>
        </w:numPr>
        <w:spacing w:line="288" w:lineRule="auto"/>
        <w:ind w:left="709" w:hanging="709"/>
        <w:rPr>
          <w:rFonts w:ascii="Times New Roman" w:hAnsi="Times New Roman"/>
          <w:bCs/>
          <w:sz w:val="20"/>
          <w:szCs w:val="20"/>
        </w:rPr>
      </w:pPr>
      <w:r w:rsidRPr="00CB0316">
        <w:rPr>
          <w:rFonts w:ascii="Times New Roman" w:hAnsi="Times New Roman"/>
          <w:bCs/>
          <w:sz w:val="20"/>
          <w:szCs w:val="20"/>
        </w:rPr>
        <w:t>The cover page of the Form of Pricing Supplement shall be amended by deleting the paragraph beginning with "</w:t>
      </w:r>
      <w:r w:rsidRPr="00CB0316">
        <w:rPr>
          <w:rFonts w:ascii="Times New Roman" w:hAnsi="Times New Roman"/>
          <w:sz w:val="20"/>
          <w:szCs w:val="20"/>
        </w:rPr>
        <w:t>[</w:t>
      </w:r>
      <w:r w:rsidRPr="00CB0316">
        <w:rPr>
          <w:rFonts w:ascii="Times New Roman" w:hAnsi="Times New Roman"/>
          <w:i/>
          <w:iCs/>
          <w:sz w:val="20"/>
          <w:szCs w:val="20"/>
        </w:rPr>
        <w:t>Include for all Securities which may include any ESG considerations, other than Sustainable Securities</w:t>
      </w:r>
      <w:r w:rsidRPr="00CB0316">
        <w:rPr>
          <w:rFonts w:ascii="Times New Roman" w:hAnsi="Times New Roman"/>
          <w:sz w:val="20"/>
          <w:szCs w:val="20"/>
        </w:rPr>
        <w:t>:</w:t>
      </w:r>
      <w:r w:rsidRPr="00CB0316">
        <w:rPr>
          <w:rFonts w:ascii="Times New Roman" w:hAnsi="Times New Roman"/>
          <w:bCs/>
          <w:sz w:val="20"/>
          <w:szCs w:val="20"/>
        </w:rPr>
        <w:t xml:space="preserve">" on page </w:t>
      </w:r>
      <w:r w:rsidR="005F122A" w:rsidRPr="00CB0316">
        <w:rPr>
          <w:rFonts w:ascii="Times New Roman" w:hAnsi="Times New Roman"/>
          <w:bCs/>
          <w:sz w:val="20"/>
          <w:szCs w:val="20"/>
        </w:rPr>
        <w:t>522</w:t>
      </w:r>
      <w:r w:rsidRPr="00CB0316">
        <w:rPr>
          <w:rFonts w:ascii="Times New Roman" w:hAnsi="Times New Roman"/>
          <w:bCs/>
          <w:sz w:val="20"/>
          <w:szCs w:val="20"/>
        </w:rPr>
        <w:t xml:space="preserve"> of the Original </w:t>
      </w:r>
      <w:r w:rsidR="005F122A" w:rsidRPr="00CB0316">
        <w:rPr>
          <w:rFonts w:ascii="Times New Roman" w:hAnsi="Times New Roman"/>
          <w:bCs/>
          <w:sz w:val="20"/>
          <w:szCs w:val="20"/>
        </w:rPr>
        <w:t>Offering Circular</w:t>
      </w:r>
      <w:r w:rsidRPr="00CB0316">
        <w:rPr>
          <w:rFonts w:ascii="Times New Roman" w:hAnsi="Times New Roman"/>
          <w:bCs/>
          <w:sz w:val="20"/>
          <w:szCs w:val="20"/>
        </w:rPr>
        <w:t xml:space="preserve"> and replacing it with the following:  </w:t>
      </w:r>
    </w:p>
    <w:p w14:paraId="6C5B8D07" w14:textId="77777777" w:rsidR="00B110CF" w:rsidRPr="00CB0316" w:rsidRDefault="00B110CF" w:rsidP="00B110CF">
      <w:pPr>
        <w:pStyle w:val="ListParagraph"/>
        <w:spacing w:line="288" w:lineRule="auto"/>
        <w:ind w:left="709"/>
        <w:rPr>
          <w:rFonts w:ascii="Times New Roman" w:hAnsi="Times New Roman"/>
          <w:bCs/>
          <w:sz w:val="20"/>
          <w:szCs w:val="20"/>
        </w:rPr>
      </w:pPr>
    </w:p>
    <w:p w14:paraId="3081FF51" w14:textId="339CB421" w:rsidR="00B110CF" w:rsidRPr="00CB0316" w:rsidRDefault="00B110CF" w:rsidP="00B110CF">
      <w:pPr>
        <w:pStyle w:val="NormalOCAshurst"/>
        <w:ind w:left="709"/>
      </w:pPr>
      <w:r w:rsidRPr="00CB0316">
        <w:t>"[</w:t>
      </w:r>
      <w:r w:rsidRPr="00CB0316">
        <w:rPr>
          <w:i/>
          <w:iCs/>
        </w:rPr>
        <w:t>Include for all Securities which may include any ESG considerations, other than Sustainable Securities</w:t>
      </w:r>
      <w:r w:rsidRPr="00CB0316">
        <w:t xml:space="preserve">: </w:t>
      </w:r>
      <w:r w:rsidR="0083502D" w:rsidRPr="00CB0316">
        <w:t>The Securities are not intended to and no assurance is or can be given to investors that they satisfy, in whole or in part, any present or future "green", "sustainable", "climate-friendly", "social", "ESG" or equivalently-labelled certification, criteria, standard, guideline, taxonomy, label, voluntary guideline and/or other independent expectation with which an investor or its investments may be expected to comply or otherwise seeks to have. For example and without limitation, the Securities are not Green Bonds and/or Social Bonds as defined under the International Capital Market Association (ICMA) Green Bond Principles and/or Social Bond Principles; the Securities are not intended to qualify for the proposed EU Green Bond Standard label; do not take into account any of the EU criteria for environmentally sustainable investments, including as set out under the EU Taxonomy Regulation (Regulation (EU) 2020/852) (or any equivalent regime); nor do they qualify as "sustainable investments" as defined under the Sustainable Finance Disclosure Regulations (Regulation (EU) 2019/2088) (or any equivalent regime).</w:t>
      </w:r>
      <w:r w:rsidR="00566162" w:rsidRPr="00CB0316">
        <w:t>]</w:t>
      </w:r>
      <w:r w:rsidRPr="00CB0316">
        <w:t>"</w:t>
      </w:r>
    </w:p>
    <w:p w14:paraId="062C9268" w14:textId="7A3706E3" w:rsidR="00B110CF" w:rsidRPr="00CB0316" w:rsidRDefault="00B110CF" w:rsidP="00E25AC1">
      <w:pPr>
        <w:pStyle w:val="ListParagraph"/>
        <w:numPr>
          <w:ilvl w:val="0"/>
          <w:numId w:val="42"/>
        </w:numPr>
        <w:spacing w:line="288" w:lineRule="auto"/>
        <w:ind w:left="709" w:hanging="709"/>
        <w:rPr>
          <w:rFonts w:ascii="Times New Roman" w:hAnsi="Times New Roman"/>
          <w:bCs/>
          <w:sz w:val="20"/>
          <w:szCs w:val="20"/>
        </w:rPr>
      </w:pPr>
      <w:r w:rsidRPr="00CB0316">
        <w:rPr>
          <w:rFonts w:ascii="Times New Roman" w:hAnsi="Times New Roman"/>
          <w:bCs/>
          <w:sz w:val="20"/>
          <w:szCs w:val="20"/>
        </w:rPr>
        <w:t>The cover page of the Form of Pricing Supplement shall be amended by deleting the paragraph beginning with "</w:t>
      </w:r>
      <w:r w:rsidRPr="00CB0316">
        <w:rPr>
          <w:rFonts w:ascii="Times New Roman" w:hAnsi="Times New Roman"/>
          <w:sz w:val="20"/>
          <w:szCs w:val="20"/>
        </w:rPr>
        <w:t>[</w:t>
      </w:r>
      <w:r w:rsidRPr="00CB0316">
        <w:rPr>
          <w:rFonts w:ascii="Times New Roman" w:hAnsi="Times New Roman"/>
          <w:i/>
          <w:iCs/>
          <w:sz w:val="20"/>
          <w:szCs w:val="20"/>
        </w:rPr>
        <w:t>Include for Sustainable Securities that are not linked to Reference Asset(s)</w:t>
      </w:r>
      <w:r w:rsidRPr="00CB0316">
        <w:rPr>
          <w:rFonts w:ascii="Times New Roman" w:hAnsi="Times New Roman"/>
          <w:sz w:val="20"/>
          <w:szCs w:val="20"/>
        </w:rPr>
        <w:t>:</w:t>
      </w:r>
      <w:r w:rsidRPr="00CB0316">
        <w:rPr>
          <w:rFonts w:ascii="Times New Roman" w:hAnsi="Times New Roman"/>
          <w:bCs/>
          <w:sz w:val="20"/>
          <w:szCs w:val="20"/>
        </w:rPr>
        <w:t xml:space="preserve">" on page </w:t>
      </w:r>
      <w:r w:rsidR="005F122A" w:rsidRPr="00CB0316">
        <w:rPr>
          <w:rFonts w:ascii="Times New Roman" w:hAnsi="Times New Roman"/>
          <w:bCs/>
          <w:sz w:val="20"/>
          <w:szCs w:val="20"/>
        </w:rPr>
        <w:t>522</w:t>
      </w:r>
      <w:r w:rsidRPr="00CB0316">
        <w:rPr>
          <w:rFonts w:ascii="Times New Roman" w:hAnsi="Times New Roman"/>
          <w:bCs/>
          <w:sz w:val="20"/>
          <w:szCs w:val="20"/>
        </w:rPr>
        <w:t xml:space="preserve"> of the Original </w:t>
      </w:r>
      <w:r w:rsidR="0092108E" w:rsidRPr="00CB0316">
        <w:rPr>
          <w:rFonts w:ascii="Times New Roman" w:hAnsi="Times New Roman"/>
          <w:bCs/>
          <w:sz w:val="20"/>
          <w:szCs w:val="20"/>
        </w:rPr>
        <w:t>Offering Circular</w:t>
      </w:r>
      <w:r w:rsidRPr="00CB0316">
        <w:rPr>
          <w:rFonts w:ascii="Times New Roman" w:hAnsi="Times New Roman"/>
          <w:bCs/>
          <w:sz w:val="20"/>
          <w:szCs w:val="20"/>
        </w:rPr>
        <w:t xml:space="preserve"> and replacing it with the following:  </w:t>
      </w:r>
    </w:p>
    <w:p w14:paraId="173C34BD" w14:textId="77777777" w:rsidR="00B110CF" w:rsidRPr="00CB0316" w:rsidRDefault="00B110CF" w:rsidP="00B110CF">
      <w:pPr>
        <w:pStyle w:val="ListParagraph"/>
        <w:spacing w:line="288" w:lineRule="auto"/>
        <w:ind w:left="709"/>
        <w:rPr>
          <w:rFonts w:ascii="Times New Roman" w:hAnsi="Times New Roman"/>
          <w:bCs/>
          <w:sz w:val="20"/>
          <w:szCs w:val="20"/>
        </w:rPr>
      </w:pPr>
    </w:p>
    <w:p w14:paraId="76F95A4C" w14:textId="2738D612" w:rsidR="00B110CF" w:rsidRPr="00CB0316" w:rsidRDefault="00B110CF" w:rsidP="00B110CF">
      <w:pPr>
        <w:pStyle w:val="NormalOCAshurst"/>
        <w:ind w:left="709"/>
      </w:pPr>
      <w:r w:rsidRPr="00CB0316">
        <w:lastRenderedPageBreak/>
        <w:t>"[</w:t>
      </w:r>
      <w:r w:rsidRPr="00CB0316">
        <w:rPr>
          <w:i/>
          <w:iCs/>
        </w:rPr>
        <w:t>Include for Sustainable Securities that are not linked to Reference Asset(s)</w:t>
      </w:r>
      <w:r w:rsidRPr="00CB0316">
        <w:t xml:space="preserve">: </w:t>
      </w:r>
      <w:r w:rsidR="0083502D" w:rsidRPr="00CB0316">
        <w:t>Save as specified in "</w:t>
      </w:r>
      <w:r w:rsidR="0083502D" w:rsidRPr="00CB0316">
        <w:rPr>
          <w:i/>
          <w:iCs/>
        </w:rPr>
        <w:t>Use of Proceeds</w:t>
      </w:r>
      <w:r w:rsidR="0083502D" w:rsidRPr="00CB0316">
        <w:t>" below, the Securities and the Eligible Projects are not intended to and no assurance is or can be given to investors that they satisfy, in whole or in part, any present or future "green", "sustainable", "climate-friendly", "social", "ESG" or equivalently-labelled certification, criteria, standard, guideline, taxonomy, label, voluntary guideline and/or other independent expectation with which an investor or its investments may be expected to comply or otherwise seeks to have. For example and without limitation, the Securities are not intended to qualify for the proposed EU Green Bond Standard label; do not take into account any of the EU criteria for environmentally sustainable investments, including as set out under the EU Taxonomy Regulation (Regulation (EU) 2020/852) (or any equivalent regime); nor do they qualify as "sustainable investments" as defined under the Sustainable Finance Disclosure Regulations (Regulation (EU) 2019/2088) (or any equivalent regime). The value of and market for the Sustainable Securities may be negatively affected if any concerns should arise among investors or the market in general about the suitability of the Sustainable Securities as "green", "sustainable", "climate-friendly", "social", "ESG" or equivalently-labelled bonds or if, more broadly, investor demand for "green", "sustainable", "climate-friendly", "social", "ESG" or equivalently-labelled bonds diminishes due to evolving investor preferences, increased regulatory or market scrutiny of investments linked to environmental, social or sustainability objectives, or for other reasons.</w:t>
      </w:r>
      <w:r w:rsidR="00566162" w:rsidRPr="00CB0316">
        <w:t>]</w:t>
      </w:r>
      <w:r w:rsidRPr="00CB0316">
        <w:t>"</w:t>
      </w:r>
    </w:p>
    <w:p w14:paraId="570A107E" w14:textId="6882B9F8" w:rsidR="00B110CF" w:rsidRPr="00CB0316" w:rsidRDefault="00B110CF" w:rsidP="00E25AC1">
      <w:pPr>
        <w:pStyle w:val="ListParagraph"/>
        <w:numPr>
          <w:ilvl w:val="0"/>
          <w:numId w:val="42"/>
        </w:numPr>
        <w:spacing w:line="288" w:lineRule="auto"/>
        <w:ind w:left="709" w:hanging="709"/>
        <w:rPr>
          <w:rFonts w:ascii="Times New Roman" w:hAnsi="Times New Roman"/>
          <w:bCs/>
          <w:sz w:val="20"/>
          <w:szCs w:val="20"/>
        </w:rPr>
      </w:pPr>
      <w:r w:rsidRPr="00CB0316">
        <w:rPr>
          <w:rFonts w:ascii="Times New Roman" w:hAnsi="Times New Roman"/>
          <w:bCs/>
          <w:sz w:val="20"/>
          <w:szCs w:val="20"/>
        </w:rPr>
        <w:t>The cover page of the Form of Pricing Supplement shall be amended by deleting the paragraph beginning with "</w:t>
      </w:r>
      <w:r w:rsidRPr="00CB0316">
        <w:rPr>
          <w:rFonts w:ascii="Times New Roman" w:hAnsi="Times New Roman"/>
          <w:bCs/>
          <w:i/>
          <w:iCs/>
          <w:sz w:val="20"/>
          <w:szCs w:val="20"/>
        </w:rPr>
        <w:t>[</w:t>
      </w:r>
      <w:r w:rsidRPr="00CB0316">
        <w:rPr>
          <w:rFonts w:ascii="Times New Roman" w:hAnsi="Times New Roman"/>
          <w:i/>
          <w:iCs/>
          <w:sz w:val="20"/>
          <w:szCs w:val="20"/>
        </w:rPr>
        <w:t>Include for Sustainable Securities that are linked to Reference Asset(s)</w:t>
      </w:r>
      <w:r w:rsidRPr="00CB0316">
        <w:rPr>
          <w:rFonts w:ascii="Times New Roman" w:hAnsi="Times New Roman"/>
          <w:bCs/>
          <w:i/>
          <w:iCs/>
          <w:sz w:val="20"/>
          <w:szCs w:val="20"/>
        </w:rPr>
        <w:t>:</w:t>
      </w:r>
      <w:r w:rsidRPr="00CB0316">
        <w:rPr>
          <w:rFonts w:ascii="Times New Roman" w:hAnsi="Times New Roman"/>
          <w:bCs/>
          <w:sz w:val="20"/>
          <w:szCs w:val="20"/>
        </w:rPr>
        <w:t>" on page</w:t>
      </w:r>
      <w:r w:rsidR="005F122A" w:rsidRPr="00CB0316">
        <w:rPr>
          <w:rFonts w:ascii="Times New Roman" w:hAnsi="Times New Roman"/>
          <w:bCs/>
          <w:sz w:val="20"/>
          <w:szCs w:val="20"/>
        </w:rPr>
        <w:t>s</w:t>
      </w:r>
      <w:r w:rsidRPr="00CB0316">
        <w:rPr>
          <w:rFonts w:ascii="Times New Roman" w:hAnsi="Times New Roman"/>
          <w:bCs/>
          <w:sz w:val="20"/>
          <w:szCs w:val="20"/>
        </w:rPr>
        <w:t xml:space="preserve"> </w:t>
      </w:r>
      <w:r w:rsidR="005F122A" w:rsidRPr="00CB0316">
        <w:rPr>
          <w:rFonts w:ascii="Times New Roman" w:hAnsi="Times New Roman"/>
          <w:bCs/>
          <w:sz w:val="20"/>
          <w:szCs w:val="20"/>
        </w:rPr>
        <w:t>522 to 523</w:t>
      </w:r>
      <w:r w:rsidRPr="00CB0316">
        <w:rPr>
          <w:rFonts w:ascii="Times New Roman" w:hAnsi="Times New Roman"/>
          <w:bCs/>
          <w:sz w:val="20"/>
          <w:szCs w:val="20"/>
        </w:rPr>
        <w:t xml:space="preserve"> of the Original </w:t>
      </w:r>
      <w:r w:rsidR="005F122A" w:rsidRPr="00CB0316">
        <w:rPr>
          <w:rFonts w:ascii="Times New Roman" w:hAnsi="Times New Roman"/>
          <w:bCs/>
          <w:sz w:val="20"/>
          <w:szCs w:val="20"/>
        </w:rPr>
        <w:t>Offering Circular</w:t>
      </w:r>
      <w:r w:rsidRPr="00CB0316">
        <w:rPr>
          <w:rFonts w:ascii="Times New Roman" w:hAnsi="Times New Roman"/>
          <w:bCs/>
          <w:sz w:val="20"/>
          <w:szCs w:val="20"/>
        </w:rPr>
        <w:t xml:space="preserve"> and replacing it with the following:  </w:t>
      </w:r>
    </w:p>
    <w:p w14:paraId="79A09AE7" w14:textId="77777777" w:rsidR="00B110CF" w:rsidRPr="00CB0316" w:rsidRDefault="00B110CF" w:rsidP="00B110CF">
      <w:pPr>
        <w:pStyle w:val="ListParagraph"/>
        <w:spacing w:line="288" w:lineRule="auto"/>
        <w:ind w:left="709"/>
        <w:rPr>
          <w:rFonts w:ascii="Times New Roman" w:hAnsi="Times New Roman"/>
          <w:bCs/>
          <w:sz w:val="20"/>
          <w:szCs w:val="20"/>
        </w:rPr>
      </w:pPr>
    </w:p>
    <w:p w14:paraId="3827876B" w14:textId="7F01F36A" w:rsidR="00B110CF" w:rsidRPr="00CB0316" w:rsidRDefault="00B110CF" w:rsidP="00B110CF">
      <w:pPr>
        <w:pStyle w:val="NormalOCAshurst"/>
        <w:ind w:left="709"/>
      </w:pPr>
      <w:r w:rsidRPr="00CB0316">
        <w:t>"[</w:t>
      </w:r>
      <w:r w:rsidRPr="00CB0316">
        <w:rPr>
          <w:i/>
          <w:iCs/>
        </w:rPr>
        <w:t>Include for Sustainable Securities that are linked to Reference Asset(s)</w:t>
      </w:r>
      <w:r w:rsidRPr="00CB0316">
        <w:t xml:space="preserve">: </w:t>
      </w:r>
      <w:r w:rsidR="0083502D" w:rsidRPr="00CB0316">
        <w:t>Save as specified in "</w:t>
      </w:r>
      <w:r w:rsidR="0083502D" w:rsidRPr="00CB0316">
        <w:rPr>
          <w:i/>
          <w:iCs/>
        </w:rPr>
        <w:t>Use of Proceeds</w:t>
      </w:r>
      <w:r w:rsidR="0083502D" w:rsidRPr="00CB0316">
        <w:t>" below, the Securities or the Eligible Projects are not intended to and no assurance is or can be given to investors that they satisfy, in whole or in part, any present or future "green", "sustainable", "climate-friendly", "social", "ESG" or equivalently-labelled certification, criteria, standard, guideline, taxonomy, label, voluntary guideline and/or other independent expectation with which an investor or its investments may be expected to comply or otherwise seeks to have. For example and without limitation, the Securities are not intended to qualify for the proposed EU Green Bond Standard label; do not take into account any of the EU criteria for environmentally sustainable investments, including as set out under the EU Taxonomy Regulation (Regulation (EU) 2020/852) (or any equivalent regime); nor do they qualify as "sustainable investments" as defined under the Sustainable Finance Disclosure Regulations (Regulation (EU) 2019/2088) (or any equivalent regime). [</w:t>
      </w:r>
      <w:r w:rsidR="0083502D" w:rsidRPr="00CB0316">
        <w:rPr>
          <w:i/>
          <w:iCs/>
        </w:rPr>
        <w:t>Include only where the Reference Asset(s) may not include any ESG considerations</w:t>
      </w:r>
      <w:r w:rsidR="0083502D" w:rsidRPr="00CB0316">
        <w:t>: In particular, while the net proceeds from the issuance of the Securities may be allocated to fund Eligible Projects, amounts payable and/or deliverable with respect to the Securities may be linked to the performance of one or more Reference Assets which do not align with and/or take into consideration any "green", "sustainable", "climate-friendly", "social", "ESG" or equivalently-labelled certification, criteria, standard, guideline, taxonomy, label, voluntary guideline and/or other independent expectation.] The value of and market for the Sustainable Securities may be negatively affected if any concerns should arise among investors or the market in general about the suitability of the Sustainable Securities as "green", "sustainable", "climate-friendly", "social", "ESG" or equivalently-labelled bonds or if, more broadly, investor demand for "green", "sustainable", "climate-friendly", "social", "ESG" or equivalently-labelled bonds diminishes due to evolving investor preferences, increased regulatory or market scrutiny of investments linked to environmental, social or sustainability objectives, or for other reasons.]]</w:t>
      </w:r>
      <w:r w:rsidRPr="00CB0316">
        <w:t>"</w:t>
      </w:r>
    </w:p>
    <w:p w14:paraId="2F81B243" w14:textId="7C43B7A0" w:rsidR="0028206C" w:rsidRPr="00CB0316" w:rsidRDefault="00B110CF" w:rsidP="0028206C">
      <w:pPr>
        <w:pStyle w:val="ListParagraph"/>
        <w:numPr>
          <w:ilvl w:val="0"/>
          <w:numId w:val="42"/>
        </w:numPr>
        <w:spacing w:line="288" w:lineRule="auto"/>
        <w:ind w:left="709" w:hanging="709"/>
        <w:rPr>
          <w:rFonts w:ascii="Times New Roman" w:hAnsi="Times New Roman"/>
          <w:bCs/>
          <w:sz w:val="20"/>
          <w:szCs w:val="20"/>
        </w:rPr>
      </w:pPr>
      <w:r w:rsidRPr="00CB0316">
        <w:rPr>
          <w:rFonts w:ascii="Times New Roman" w:hAnsi="Times New Roman"/>
          <w:bCs/>
          <w:sz w:val="20"/>
          <w:szCs w:val="20"/>
        </w:rPr>
        <w:t xml:space="preserve">The </w:t>
      </w:r>
      <w:r w:rsidR="0028206C" w:rsidRPr="00CB0316">
        <w:rPr>
          <w:rFonts w:ascii="Times New Roman" w:hAnsi="Times New Roman"/>
          <w:bCs/>
          <w:sz w:val="20"/>
          <w:szCs w:val="20"/>
        </w:rPr>
        <w:t xml:space="preserve">section </w:t>
      </w:r>
      <w:r w:rsidR="00566162" w:rsidRPr="00CB0316">
        <w:rPr>
          <w:rFonts w:ascii="Times New Roman" w:hAnsi="Times New Roman"/>
          <w:bCs/>
          <w:sz w:val="20"/>
          <w:szCs w:val="20"/>
        </w:rPr>
        <w:t>entitled</w:t>
      </w:r>
      <w:r w:rsidR="0028206C" w:rsidRPr="00CB0316">
        <w:rPr>
          <w:rFonts w:ascii="Times New Roman" w:hAnsi="Times New Roman"/>
          <w:bCs/>
          <w:sz w:val="20"/>
          <w:szCs w:val="20"/>
        </w:rPr>
        <w:t xml:space="preserve"> "Reasons for the Issue, Estimated Net Proceeds and Total Expenses" </w:t>
      </w:r>
      <w:r w:rsidR="00566162" w:rsidRPr="00CB0316">
        <w:rPr>
          <w:rFonts w:ascii="Times New Roman" w:hAnsi="Times New Roman"/>
          <w:bCs/>
          <w:sz w:val="20"/>
          <w:szCs w:val="20"/>
        </w:rPr>
        <w:t>of</w:t>
      </w:r>
      <w:r w:rsidR="0028206C" w:rsidRPr="00CB0316">
        <w:rPr>
          <w:rFonts w:ascii="Times New Roman" w:hAnsi="Times New Roman"/>
          <w:bCs/>
          <w:sz w:val="20"/>
          <w:szCs w:val="20"/>
        </w:rPr>
        <w:t xml:space="preserve"> the Form of Pricing Supplement shall be amended by deleting the paragraph beginning with "On an annual basis</w:t>
      </w:r>
      <w:r w:rsidR="00566162" w:rsidRPr="00CB0316">
        <w:rPr>
          <w:rFonts w:ascii="Times New Roman" w:hAnsi="Times New Roman"/>
          <w:bCs/>
          <w:sz w:val="20"/>
          <w:szCs w:val="20"/>
        </w:rPr>
        <w:t>,</w:t>
      </w:r>
      <w:r w:rsidR="0028206C" w:rsidRPr="00CB0316">
        <w:rPr>
          <w:rFonts w:ascii="Times New Roman" w:hAnsi="Times New Roman"/>
          <w:bCs/>
          <w:sz w:val="20"/>
          <w:szCs w:val="20"/>
        </w:rPr>
        <w:t xml:space="preserve">" </w:t>
      </w:r>
      <w:r w:rsidR="00566162" w:rsidRPr="00CB0316">
        <w:rPr>
          <w:rFonts w:ascii="Times New Roman" w:hAnsi="Times New Roman"/>
          <w:bCs/>
          <w:sz w:val="20"/>
          <w:szCs w:val="20"/>
        </w:rPr>
        <w:t>on</w:t>
      </w:r>
      <w:r w:rsidR="0028206C" w:rsidRPr="00CB0316">
        <w:rPr>
          <w:rFonts w:ascii="Times New Roman" w:hAnsi="Times New Roman"/>
          <w:bCs/>
          <w:sz w:val="20"/>
          <w:szCs w:val="20"/>
        </w:rPr>
        <w:t xml:space="preserve"> page 575 of the</w:t>
      </w:r>
      <w:r w:rsidR="00E74776" w:rsidRPr="00CB0316">
        <w:rPr>
          <w:rFonts w:ascii="Times New Roman" w:hAnsi="Times New Roman"/>
          <w:bCs/>
          <w:sz w:val="20"/>
          <w:szCs w:val="20"/>
        </w:rPr>
        <w:t xml:space="preserve"> Original</w:t>
      </w:r>
      <w:r w:rsidR="0028206C" w:rsidRPr="00CB0316">
        <w:rPr>
          <w:rFonts w:ascii="Times New Roman" w:hAnsi="Times New Roman"/>
          <w:bCs/>
          <w:sz w:val="20"/>
          <w:szCs w:val="20"/>
        </w:rPr>
        <w:t xml:space="preserve"> Offering Circular and replacing it with the following</w:t>
      </w:r>
      <w:r w:rsidRPr="00CB0316">
        <w:rPr>
          <w:rFonts w:ascii="Times New Roman" w:hAnsi="Times New Roman"/>
          <w:bCs/>
          <w:sz w:val="20"/>
          <w:szCs w:val="20"/>
        </w:rPr>
        <w:t xml:space="preserve">:  </w:t>
      </w:r>
    </w:p>
    <w:p w14:paraId="60476B4E" w14:textId="77777777" w:rsidR="0028206C" w:rsidRPr="00CB0316" w:rsidRDefault="0028206C" w:rsidP="0028206C">
      <w:pPr>
        <w:pStyle w:val="ListParagraph"/>
        <w:spacing w:line="288" w:lineRule="auto"/>
        <w:ind w:left="709"/>
        <w:rPr>
          <w:rFonts w:ascii="Times New Roman" w:hAnsi="Times New Roman"/>
          <w:bCs/>
          <w:sz w:val="20"/>
          <w:szCs w:val="20"/>
        </w:rPr>
      </w:pPr>
    </w:p>
    <w:p w14:paraId="51123B8C" w14:textId="77777777" w:rsidR="0028206C" w:rsidRPr="00CB0316" w:rsidRDefault="0028206C" w:rsidP="0028206C">
      <w:pPr>
        <w:pStyle w:val="ListParagraph"/>
        <w:spacing w:line="288" w:lineRule="auto"/>
        <w:ind w:left="709"/>
        <w:rPr>
          <w:rFonts w:ascii="Times New Roman" w:hAnsi="Times New Roman"/>
          <w:sz w:val="20"/>
          <w:szCs w:val="20"/>
        </w:rPr>
      </w:pPr>
      <w:r w:rsidRPr="00CB0316">
        <w:rPr>
          <w:rFonts w:ascii="Times New Roman" w:hAnsi="Times New Roman"/>
          <w:sz w:val="20"/>
          <w:szCs w:val="20"/>
        </w:rPr>
        <w:t>"On an annual basis, JPMorgan Chase intends to prepare and make publicly available a report that will describe its allocation of the net proceeds of all outstanding Sustainable Securities, including any new issuances since its last report, to fund Eligible Projects within the Sustainable Asset Portfolio."</w:t>
      </w:r>
    </w:p>
    <w:p w14:paraId="36B1FC49" w14:textId="77777777" w:rsidR="00EC0C76" w:rsidRPr="00CB0316" w:rsidRDefault="00EC0C76" w:rsidP="00EC0C76">
      <w:pPr>
        <w:spacing w:line="288" w:lineRule="auto"/>
        <w:rPr>
          <w:rFonts w:ascii="Times New Roman" w:hAnsi="Times New Roman"/>
          <w:sz w:val="20"/>
          <w:szCs w:val="20"/>
        </w:rPr>
      </w:pPr>
    </w:p>
    <w:p w14:paraId="111D8A02" w14:textId="77777777" w:rsidR="00EC0C76" w:rsidRPr="00CB0316" w:rsidRDefault="00EC0C76" w:rsidP="00EC0C76">
      <w:pPr>
        <w:pStyle w:val="ListParagraph"/>
        <w:numPr>
          <w:ilvl w:val="0"/>
          <w:numId w:val="41"/>
        </w:numPr>
        <w:suppressAutoHyphens/>
        <w:spacing w:after="220" w:line="288" w:lineRule="auto"/>
        <w:ind w:left="709" w:hanging="709"/>
        <w:rPr>
          <w:rFonts w:ascii="Times New Roman" w:hAnsi="Times New Roman"/>
          <w:b/>
          <w:sz w:val="20"/>
          <w:szCs w:val="20"/>
        </w:rPr>
      </w:pPr>
      <w:r w:rsidRPr="00CB0316">
        <w:rPr>
          <w:rFonts w:ascii="Times New Roman" w:hAnsi="Times New Roman"/>
          <w:b/>
          <w:sz w:val="20"/>
          <w:szCs w:val="20"/>
        </w:rPr>
        <w:t>Amendments to the section entitled Information Relating to Sustainable Securities</w:t>
      </w:r>
    </w:p>
    <w:p w14:paraId="35442F51" w14:textId="61677481" w:rsidR="00EC0C76" w:rsidRPr="00CB0316" w:rsidRDefault="00CB38D6" w:rsidP="00CB38D6">
      <w:pPr>
        <w:pStyle w:val="NormalOCAshurst"/>
        <w:ind w:left="709" w:hanging="709"/>
        <w:rPr>
          <w:bCs/>
        </w:rPr>
      </w:pPr>
      <w:r w:rsidRPr="00CB0316">
        <w:rPr>
          <w:bCs/>
        </w:rPr>
        <w:t>(i)</w:t>
      </w:r>
      <w:r w:rsidRPr="00CB0316">
        <w:rPr>
          <w:bCs/>
        </w:rPr>
        <w:tab/>
      </w:r>
      <w:r w:rsidR="00EC0C76" w:rsidRPr="00CB0316">
        <w:rPr>
          <w:bCs/>
        </w:rPr>
        <w:t>The</w:t>
      </w:r>
      <w:r w:rsidR="00ED7498" w:rsidRPr="00CB0316">
        <w:rPr>
          <w:bCs/>
        </w:rPr>
        <w:t xml:space="preserve"> first four paragraphs of the</w:t>
      </w:r>
      <w:r w:rsidR="00EC0C76" w:rsidRPr="00CB0316">
        <w:rPr>
          <w:bCs/>
        </w:rPr>
        <w:t xml:space="preserve"> section entitled "Information relating to Sustainable Securities" on page 586 of the Original Offering Circular shall be deleted and replaced with the following:</w:t>
      </w:r>
    </w:p>
    <w:p w14:paraId="13D7FFEF" w14:textId="77777777" w:rsidR="00EC0C76" w:rsidRPr="00CB0316" w:rsidRDefault="00EC0C76" w:rsidP="00EC0C76">
      <w:pPr>
        <w:pStyle w:val="MainHeadingOCAshurst"/>
        <w:ind w:left="709"/>
        <w:rPr>
          <w:rFonts w:ascii="Times New Roman" w:hAnsi="Times New Roman"/>
        </w:rPr>
      </w:pPr>
      <w:bookmarkStart w:id="9" w:name="INFORMATIONRELATINGTOSUSTAINABLESECURITI"/>
      <w:r w:rsidRPr="00CB0316">
        <w:rPr>
          <w:rFonts w:ascii="Times New Roman" w:hAnsi="Times New Roman"/>
          <w:b w:val="0"/>
          <w:bCs/>
        </w:rPr>
        <w:lastRenderedPageBreak/>
        <w:t>"</w:t>
      </w:r>
      <w:r w:rsidRPr="00CB0316">
        <w:rPr>
          <w:rFonts w:ascii="Times New Roman" w:hAnsi="Times New Roman"/>
        </w:rPr>
        <w:t>INFORMATION RELATING TO SUSTAINABLE SECURITIES</w:t>
      </w:r>
      <w:bookmarkEnd w:id="9"/>
    </w:p>
    <w:p w14:paraId="60822E91" w14:textId="05FD9BFD" w:rsidR="00EC0C76" w:rsidRPr="00CB0316" w:rsidRDefault="00EC0C76" w:rsidP="00EC0C76">
      <w:pPr>
        <w:pStyle w:val="NormalOCAshurst"/>
        <w:ind w:left="709"/>
      </w:pPr>
      <w:r w:rsidRPr="00CB0316">
        <w:t>The relevant Pricing Supplement may specify that the Securities are Green Securities ("</w:t>
      </w:r>
      <w:r w:rsidRPr="00CB0316">
        <w:rPr>
          <w:b/>
          <w:bCs/>
        </w:rPr>
        <w:t>Green Securities</w:t>
      </w:r>
      <w:r w:rsidRPr="00CB0316">
        <w:t>"), Social Securities ("</w:t>
      </w:r>
      <w:r w:rsidRPr="00CB0316">
        <w:rPr>
          <w:b/>
          <w:bCs/>
        </w:rPr>
        <w:t>Social Securities</w:t>
      </w:r>
      <w:r w:rsidRPr="00CB0316">
        <w:t>") or Sustainability Securities ("</w:t>
      </w:r>
      <w:r w:rsidRPr="00CB0316">
        <w:rPr>
          <w:b/>
          <w:bCs/>
        </w:rPr>
        <w:t>Sustainability Securities</w:t>
      </w:r>
      <w:r w:rsidRPr="00CB0316">
        <w:t>" and, together with Green Securities and Social Securities, "</w:t>
      </w:r>
      <w:r w:rsidRPr="00CB0316">
        <w:rPr>
          <w:b/>
          <w:bCs/>
        </w:rPr>
        <w:t>Sustainable Securities</w:t>
      </w:r>
      <w:r w:rsidRPr="00CB0316">
        <w:t>"), as the case may be. JPMorgan Chase has developed a firmwide sustainability strategy, and part of this strategy includes our issuance from time to time of Sustainable Securities is part of that strategy. Sustainable Securities are issuances by JPMorgan Chase of Securities in which case JPMorgan Chase intends to allocate an amount equal to the net proceeds from the issuance of such Sustainable Securities to fund:</w:t>
      </w:r>
    </w:p>
    <w:p w14:paraId="7D415A19" w14:textId="77777777" w:rsidR="00EC0C76" w:rsidRPr="00CB0316" w:rsidRDefault="00EC0C76" w:rsidP="00EC0C76">
      <w:pPr>
        <w:pStyle w:val="BulletOCAshurst"/>
        <w:tabs>
          <w:tab w:val="clear" w:pos="1561"/>
          <w:tab w:val="left" w:pos="1276"/>
        </w:tabs>
        <w:ind w:left="1276" w:hanging="567"/>
        <w:rPr>
          <w:rFonts w:ascii="Times New Roman" w:hAnsi="Times New Roman"/>
        </w:rPr>
      </w:pPr>
      <w:r w:rsidRPr="00CB0316">
        <w:rPr>
          <w:rFonts w:ascii="Times New Roman" w:hAnsi="Times New Roman"/>
        </w:rPr>
        <w:t>in the case of Green Securities, Eligible Green Projects (as described below);</w:t>
      </w:r>
    </w:p>
    <w:p w14:paraId="4F2A60B9" w14:textId="77777777" w:rsidR="00EC0C76" w:rsidRPr="00CB0316" w:rsidRDefault="00EC0C76" w:rsidP="00EC0C76">
      <w:pPr>
        <w:pStyle w:val="BulletOCAshurst"/>
        <w:tabs>
          <w:tab w:val="clear" w:pos="1561"/>
          <w:tab w:val="left" w:pos="1276"/>
        </w:tabs>
        <w:ind w:left="1276" w:hanging="567"/>
        <w:rPr>
          <w:rFonts w:ascii="Times New Roman" w:hAnsi="Times New Roman"/>
        </w:rPr>
      </w:pPr>
      <w:r w:rsidRPr="00CB0316">
        <w:rPr>
          <w:rFonts w:ascii="Times New Roman" w:hAnsi="Times New Roman"/>
        </w:rPr>
        <w:t>in the case of Social Securities, Eligible Social Projects (as described below); and</w:t>
      </w:r>
    </w:p>
    <w:p w14:paraId="27CD8BED" w14:textId="77777777" w:rsidR="00EC0C76" w:rsidRPr="00CB0316" w:rsidRDefault="00EC0C76" w:rsidP="00EC0C76">
      <w:pPr>
        <w:pStyle w:val="BulletOCAshurst"/>
        <w:tabs>
          <w:tab w:val="clear" w:pos="1561"/>
          <w:tab w:val="left" w:pos="1276"/>
        </w:tabs>
        <w:ind w:left="1276" w:hanging="567"/>
        <w:rPr>
          <w:rFonts w:ascii="Times New Roman" w:hAnsi="Times New Roman"/>
        </w:rPr>
      </w:pPr>
      <w:r w:rsidRPr="00CB0316">
        <w:rPr>
          <w:rFonts w:ascii="Times New Roman" w:hAnsi="Times New Roman"/>
        </w:rPr>
        <w:t>in the case of Sustainability Securities, a combination of Eligible Green Projects and/or Eligible Social Projects (collectively, "</w:t>
      </w:r>
      <w:r w:rsidRPr="00CB0316">
        <w:rPr>
          <w:rFonts w:ascii="Times New Roman" w:hAnsi="Times New Roman"/>
          <w:b/>
          <w:bCs/>
        </w:rPr>
        <w:t>Eligible Projects</w:t>
      </w:r>
      <w:r w:rsidRPr="00CB0316">
        <w:rPr>
          <w:rFonts w:ascii="Times New Roman" w:hAnsi="Times New Roman"/>
        </w:rPr>
        <w:t>") (in such proportion between Eligible Green Projects and Eligible Social Projects as is determined at the discretion of JPMorgan Chase),</w:t>
      </w:r>
    </w:p>
    <w:p w14:paraId="137DBA19" w14:textId="77777777" w:rsidR="00EC0C76" w:rsidRPr="00CB0316" w:rsidRDefault="00EC0C76" w:rsidP="00EC0C76">
      <w:pPr>
        <w:pStyle w:val="NormalOCAshurst"/>
        <w:ind w:left="709"/>
      </w:pPr>
      <w:r w:rsidRPr="00CB0316">
        <w:t>in each case on a portfolio basis, as described below.</w:t>
      </w:r>
    </w:p>
    <w:p w14:paraId="595910FF" w14:textId="77777777" w:rsidR="00EC0C76" w:rsidRPr="00CB0316" w:rsidRDefault="00EC0C76" w:rsidP="00EC0C76">
      <w:pPr>
        <w:pStyle w:val="H4OCAshurst"/>
        <w:numPr>
          <w:ilvl w:val="0"/>
          <w:numId w:val="0"/>
        </w:numPr>
        <w:ind w:left="709"/>
        <w:rPr>
          <w:rFonts w:ascii="Times New Roman" w:hAnsi="Times New Roman"/>
        </w:rPr>
      </w:pPr>
      <w:r w:rsidRPr="00CB0316">
        <w:rPr>
          <w:rFonts w:ascii="Times New Roman" w:hAnsi="Times New Roman"/>
        </w:rPr>
        <w:t>For purposes of such allocation, Eligible Projects include projects for which JPMorgan Chase disburses funds up to 24 months prior to the issuance of the relevant Securities. Any payment on the Securities will not be directly linked to the performance, maturity or termination of any Eligible Projects.</w:t>
      </w:r>
    </w:p>
    <w:p w14:paraId="48EDDE27" w14:textId="77777777" w:rsidR="00EC0C76" w:rsidRPr="00CB0316" w:rsidRDefault="00EC0C76" w:rsidP="00EC0C76">
      <w:pPr>
        <w:pStyle w:val="H4OCAshurst"/>
        <w:numPr>
          <w:ilvl w:val="0"/>
          <w:numId w:val="0"/>
        </w:numPr>
        <w:ind w:left="709"/>
        <w:rPr>
          <w:rFonts w:ascii="Times New Roman" w:hAnsi="Times New Roman"/>
        </w:rPr>
      </w:pPr>
      <w:bookmarkStart w:id="10" w:name="_Hlk132150246"/>
      <w:r w:rsidRPr="00CB0316">
        <w:rPr>
          <w:rFonts w:ascii="Times New Roman" w:hAnsi="Times New Roman"/>
        </w:rPr>
        <w:t>Sustainable Securities will be issued pursuant to the terms of JPMorgan Chase's Sustainable Bond Framework (the "</w:t>
      </w:r>
      <w:r w:rsidRPr="00CB0316">
        <w:rPr>
          <w:rFonts w:ascii="Times New Roman" w:hAnsi="Times New Roman"/>
          <w:b/>
          <w:bCs/>
        </w:rPr>
        <w:t>Sustainable Bond Framework</w:t>
      </w:r>
      <w:r w:rsidRPr="00CB0316">
        <w:rPr>
          <w:rFonts w:ascii="Times New Roman" w:hAnsi="Times New Roman"/>
        </w:rPr>
        <w:fldChar w:fldCharType="begin"/>
      </w:r>
      <w:r w:rsidRPr="00CB0316">
        <w:rPr>
          <w:rFonts w:ascii="Times New Roman" w:hAnsi="Times New Roman"/>
        </w:rPr>
        <w:instrText xml:space="preserve"> XE "Sustainable Bond Framework" </w:instrText>
      </w:r>
      <w:r w:rsidRPr="00CB0316">
        <w:rPr>
          <w:rFonts w:ascii="Times New Roman" w:hAnsi="Times New Roman"/>
        </w:rPr>
        <w:fldChar w:fldCharType="end"/>
      </w:r>
      <w:r w:rsidRPr="00CB0316">
        <w:rPr>
          <w:rFonts w:ascii="Times New Roman" w:hAnsi="Times New Roman"/>
        </w:rPr>
        <w:t xml:space="preserve">"). The below description is based on the Sustainable Bond Framework as at the date of this Offering Circular; however, JPMorgan Chase anticipates that it will periodically review the Sustainable Bond Framework in light of evolving market practices and applicable guidelines and, therefore, it is subject to change. Potential investors in Sustainable Securities should ensure to review the latest version of the Sustainable Bond Framework and the applicable Pricing Supplement for information on the use of proceeds of the relevant Sustainable Securities. </w:t>
      </w:r>
      <w:bookmarkStart w:id="11" w:name="_Hlk132150817"/>
      <w:bookmarkEnd w:id="10"/>
    </w:p>
    <w:tbl>
      <w:tblPr>
        <w:tblStyle w:val="TableGrid"/>
        <w:tblpPr w:leftFromText="180" w:rightFromText="180" w:vertAnchor="text" w:horzAnchor="margin" w:tblpXSpec="right" w:tblpY="1732"/>
        <w:tblW w:w="0" w:type="auto"/>
        <w:tblBorders>
          <w:insideH w:val="none" w:sz="0" w:space="0" w:color="auto"/>
          <w:insideV w:val="none" w:sz="0" w:space="0" w:color="auto"/>
        </w:tblBorders>
        <w:tblLook w:val="04A0" w:firstRow="1" w:lastRow="0" w:firstColumn="1" w:lastColumn="0" w:noHBand="0" w:noVBand="1"/>
      </w:tblPr>
      <w:tblGrid>
        <w:gridCol w:w="8243"/>
      </w:tblGrid>
      <w:tr w:rsidR="00125818" w:rsidRPr="00CB0316" w14:paraId="39D30C0E" w14:textId="77777777" w:rsidTr="0009512E">
        <w:tc>
          <w:tcPr>
            <w:tcW w:w="8243" w:type="dxa"/>
          </w:tcPr>
          <w:p w14:paraId="68705E00" w14:textId="742814C7" w:rsidR="00EC0C76" w:rsidRPr="00CB0316" w:rsidRDefault="00EC0C76" w:rsidP="0009512E">
            <w:pPr>
              <w:pStyle w:val="NormalOCAshurst"/>
              <w:rPr>
                <w:bCs/>
              </w:rPr>
            </w:pPr>
            <w:r w:rsidRPr="00CB0316">
              <w:rPr>
                <w:b/>
              </w:rPr>
              <w:t>Before investing in Sustainable Securities, prospective investors should carefully consider the information in Risk Factor 5.16 (</w:t>
            </w:r>
            <w:r w:rsidRPr="00CB0316">
              <w:rPr>
                <w:b/>
                <w:i/>
                <w:iCs/>
              </w:rPr>
              <w:t>There are risks associated with Sustainable Securities</w:t>
            </w:r>
            <w:r w:rsidRPr="00CB0316">
              <w:rPr>
                <w:b/>
              </w:rPr>
              <w:t>) above, as well as the other information in this Offering Circular.</w:t>
            </w:r>
            <w:r w:rsidR="00CC667F" w:rsidRPr="00CB0316">
              <w:rPr>
                <w:bCs/>
              </w:rPr>
              <w:t>"</w:t>
            </w:r>
          </w:p>
        </w:tc>
      </w:tr>
    </w:tbl>
    <w:p w14:paraId="708237B2" w14:textId="6163E232" w:rsidR="00EC0C76" w:rsidRPr="00CB0316" w:rsidRDefault="00EC0C76" w:rsidP="00EC0C76">
      <w:pPr>
        <w:pStyle w:val="H4OCAshurst"/>
        <w:numPr>
          <w:ilvl w:val="0"/>
          <w:numId w:val="0"/>
        </w:numPr>
        <w:ind w:left="709"/>
        <w:rPr>
          <w:rFonts w:ascii="Times New Roman" w:hAnsi="Times New Roman"/>
        </w:rPr>
      </w:pPr>
      <w:r w:rsidRPr="00CB0316">
        <w:rPr>
          <w:rFonts w:ascii="Times New Roman" w:hAnsi="Times New Roman"/>
        </w:rPr>
        <w:t>The latest version of the Sustainable Bond Framework can be found at (</w:t>
      </w:r>
      <w:hyperlink r:id="rId14" w:history="1">
        <w:r w:rsidRPr="00CB0316">
          <w:rPr>
            <w:rStyle w:val="Hyperlink"/>
            <w:rFonts w:ascii="Times New Roman" w:hAnsi="Times New Roman" w:cs="Times New Roman"/>
            <w:color w:val="auto"/>
            <w:szCs w:val="20"/>
          </w:rPr>
          <w:t>https://www.jpmorganchase.com/about/governance/esg</w:t>
        </w:r>
      </w:hyperlink>
      <w:r w:rsidRPr="00CB0316">
        <w:rPr>
          <w:rStyle w:val="Hyperlink"/>
          <w:rFonts w:ascii="Times New Roman" w:hAnsi="Times New Roman" w:cs="Times New Roman"/>
          <w:color w:val="auto"/>
          <w:szCs w:val="20"/>
        </w:rPr>
        <w:t xml:space="preserve"> (or any </w:t>
      </w:r>
      <w:proofErr w:type="spellStart"/>
      <w:r w:rsidRPr="00CB0316">
        <w:rPr>
          <w:rStyle w:val="Hyperlink"/>
          <w:rFonts w:ascii="Times New Roman" w:hAnsi="Times New Roman" w:cs="Times New Roman"/>
          <w:color w:val="auto"/>
          <w:szCs w:val="20"/>
        </w:rPr>
        <w:t>sucessor</w:t>
      </w:r>
      <w:proofErr w:type="spellEnd"/>
      <w:r w:rsidRPr="00CB0316">
        <w:rPr>
          <w:rStyle w:val="Hyperlink"/>
          <w:rFonts w:ascii="Times New Roman" w:hAnsi="Times New Roman" w:cs="Times New Roman"/>
          <w:color w:val="auto"/>
          <w:szCs w:val="20"/>
        </w:rPr>
        <w:t xml:space="preserve"> website). </w:t>
      </w:r>
      <w:bookmarkEnd w:id="11"/>
      <w:r w:rsidRPr="00CB0316">
        <w:rPr>
          <w:rFonts w:ascii="Times New Roman" w:hAnsi="Times New Roman"/>
        </w:rPr>
        <w:t>The Sustainable Bond Framework does not form part of, is not incorporated in (whether in whole or in part), and shall not be deemed to be part of or incorporated in (whether in whole or in part), this Offering Circular. The above website reference is provided for ease of reference only: none of the website or any information hosted on the website forms part of, is incorporated in (whether in whole or in part), or shall be deemed to be part of or incorporated in (whether in whole or in part), this Offering Circular.</w:t>
      </w:r>
    </w:p>
    <w:p w14:paraId="782B4703" w14:textId="3A26C738" w:rsidR="00EC0C76" w:rsidRPr="00CB0316" w:rsidRDefault="00EC0C76" w:rsidP="00ED7498">
      <w:pPr>
        <w:pStyle w:val="NormalOCAshurst"/>
        <w:ind w:left="709"/>
      </w:pPr>
    </w:p>
    <w:p w14:paraId="7A1EB648" w14:textId="2C8CDE10" w:rsidR="00CB38D6" w:rsidRPr="00CB0316" w:rsidRDefault="00CB38D6" w:rsidP="00CB38D6">
      <w:pPr>
        <w:pStyle w:val="NormalOCAshurst"/>
        <w:ind w:left="709" w:hanging="709"/>
        <w:rPr>
          <w:bCs/>
        </w:rPr>
      </w:pPr>
      <w:r w:rsidRPr="00CB0316">
        <w:rPr>
          <w:bCs/>
        </w:rPr>
        <w:t>(ii)</w:t>
      </w:r>
      <w:r w:rsidRPr="00CB0316">
        <w:rPr>
          <w:bCs/>
        </w:rPr>
        <w:tab/>
        <w:t>The subsection headed "Exclusionary criteria" on page 588 of the Original Offering Circular shall be deleted and replaced with the following:</w:t>
      </w:r>
    </w:p>
    <w:p w14:paraId="2F5029C3" w14:textId="0A224F52" w:rsidR="00EC0C76" w:rsidRPr="00CB0316" w:rsidRDefault="00CC667F" w:rsidP="00EC0C76">
      <w:pPr>
        <w:pStyle w:val="NormalOCAshurst"/>
        <w:ind w:left="709"/>
        <w:rPr>
          <w:u w:val="single"/>
        </w:rPr>
      </w:pPr>
      <w:r w:rsidRPr="00CB0316">
        <w:t>"</w:t>
      </w:r>
      <w:r w:rsidR="00EC0C76" w:rsidRPr="00CB0316">
        <w:rPr>
          <w:u w:val="single"/>
        </w:rPr>
        <w:t>Excluded activities</w:t>
      </w:r>
    </w:p>
    <w:p w14:paraId="315EF86E" w14:textId="77777777" w:rsidR="00EC0C76" w:rsidRPr="00CB0316" w:rsidRDefault="00EC0C76" w:rsidP="00EC0C76">
      <w:pPr>
        <w:pStyle w:val="NormalOCAshurst"/>
        <w:ind w:left="709"/>
      </w:pPr>
      <w:r w:rsidRPr="00CB0316">
        <w:t>JPMorgan Chase will not knowingly allocate proceeds from the issuance of Sustainable Securities to the following activities:</w:t>
      </w:r>
    </w:p>
    <w:p w14:paraId="236D5E97" w14:textId="77777777" w:rsidR="00EC0C76" w:rsidRPr="00CB0316" w:rsidRDefault="00EC0C76" w:rsidP="00EC0C76">
      <w:pPr>
        <w:pStyle w:val="BulletOCAshurst"/>
        <w:tabs>
          <w:tab w:val="clear" w:pos="1561"/>
          <w:tab w:val="num" w:pos="1276"/>
        </w:tabs>
        <w:ind w:left="1276" w:hanging="567"/>
        <w:rPr>
          <w:rFonts w:ascii="Times New Roman" w:hAnsi="Times New Roman"/>
        </w:rPr>
      </w:pPr>
      <w:r w:rsidRPr="00CB0316">
        <w:rPr>
          <w:rFonts w:ascii="Times New Roman" w:hAnsi="Times New Roman"/>
        </w:rPr>
        <w:t>activities related to the exploration, production or transportation of fossil fuels (e.g., coal, oil and gas);</w:t>
      </w:r>
    </w:p>
    <w:p w14:paraId="35D29D66" w14:textId="77777777" w:rsidR="00EC0C76" w:rsidRPr="00CB0316" w:rsidRDefault="00EC0C76" w:rsidP="00EC0C76">
      <w:pPr>
        <w:pStyle w:val="BulletOCAshurst"/>
        <w:tabs>
          <w:tab w:val="clear" w:pos="1561"/>
          <w:tab w:val="num" w:pos="1276"/>
        </w:tabs>
        <w:ind w:left="1276" w:hanging="567"/>
        <w:rPr>
          <w:rFonts w:ascii="Times New Roman" w:hAnsi="Times New Roman"/>
        </w:rPr>
      </w:pPr>
      <w:r w:rsidRPr="00CB0316">
        <w:rPr>
          <w:rFonts w:ascii="Times New Roman" w:hAnsi="Times New Roman"/>
        </w:rPr>
        <w:t>consumption of fossil fuels for the purpose of power generation;</w:t>
      </w:r>
    </w:p>
    <w:p w14:paraId="6BED2406" w14:textId="77777777" w:rsidR="00EC0C76" w:rsidRPr="00CB0316" w:rsidRDefault="00EC0C76" w:rsidP="00EC0C76">
      <w:pPr>
        <w:pStyle w:val="BulletOCAshurst"/>
        <w:tabs>
          <w:tab w:val="clear" w:pos="1561"/>
          <w:tab w:val="num" w:pos="1276"/>
        </w:tabs>
        <w:ind w:left="1276" w:hanging="567"/>
        <w:rPr>
          <w:rFonts w:ascii="Times New Roman" w:hAnsi="Times New Roman"/>
        </w:rPr>
      </w:pPr>
      <w:r w:rsidRPr="00CB0316">
        <w:rPr>
          <w:rFonts w:ascii="Times New Roman" w:hAnsi="Times New Roman"/>
        </w:rPr>
        <w:t>nuclear energy;</w:t>
      </w:r>
    </w:p>
    <w:p w14:paraId="038BEF72" w14:textId="77777777" w:rsidR="00EC0C76" w:rsidRPr="00CB0316" w:rsidRDefault="00EC0C76" w:rsidP="00EC0C76">
      <w:pPr>
        <w:pStyle w:val="BulletOCAshurst"/>
        <w:tabs>
          <w:tab w:val="clear" w:pos="1561"/>
          <w:tab w:val="num" w:pos="1276"/>
        </w:tabs>
        <w:ind w:left="1276" w:hanging="567"/>
        <w:rPr>
          <w:rFonts w:ascii="Times New Roman" w:hAnsi="Times New Roman"/>
        </w:rPr>
      </w:pPr>
      <w:r w:rsidRPr="00CB0316">
        <w:rPr>
          <w:rFonts w:ascii="Times New Roman" w:hAnsi="Times New Roman"/>
        </w:rPr>
        <w:lastRenderedPageBreak/>
        <w:t>activities involving exploitation of human rights, modern slavery (e.g., forced labour or human trafficking) or child labour; or</w:t>
      </w:r>
    </w:p>
    <w:p w14:paraId="2A6DA63B" w14:textId="14CFFCCF" w:rsidR="00EC0C76" w:rsidRPr="00CB0316" w:rsidRDefault="00EC0C76" w:rsidP="00EC0C76">
      <w:pPr>
        <w:pStyle w:val="BulletOCAshurst"/>
        <w:tabs>
          <w:tab w:val="clear" w:pos="1561"/>
          <w:tab w:val="num" w:pos="1276"/>
        </w:tabs>
        <w:ind w:left="1276" w:hanging="567"/>
        <w:rPr>
          <w:rFonts w:ascii="Times New Roman" w:hAnsi="Times New Roman"/>
        </w:rPr>
      </w:pPr>
      <w:r w:rsidRPr="00CB0316">
        <w:rPr>
          <w:rFonts w:ascii="Times New Roman" w:hAnsi="Times New Roman"/>
        </w:rPr>
        <w:t>any other activity that it determines is ineligible for allocation of proceeds at the time of allocation.</w:t>
      </w:r>
      <w:r w:rsidR="00CC667F" w:rsidRPr="00CB0316">
        <w:rPr>
          <w:rFonts w:ascii="Times New Roman" w:hAnsi="Times New Roman"/>
        </w:rPr>
        <w:t>"</w:t>
      </w:r>
    </w:p>
    <w:p w14:paraId="5F63292B" w14:textId="55BC8218" w:rsidR="00CB38D6" w:rsidRPr="00CB0316" w:rsidRDefault="00CB38D6" w:rsidP="00CB38D6">
      <w:pPr>
        <w:pStyle w:val="BulletOCAshurst"/>
        <w:numPr>
          <w:ilvl w:val="0"/>
          <w:numId w:val="0"/>
        </w:numPr>
        <w:ind w:left="709" w:hanging="709"/>
        <w:rPr>
          <w:rFonts w:ascii="Times New Roman" w:hAnsi="Times New Roman"/>
        </w:rPr>
      </w:pPr>
      <w:r w:rsidRPr="00CB0316">
        <w:rPr>
          <w:rFonts w:ascii="Times New Roman" w:hAnsi="Times New Roman"/>
        </w:rPr>
        <w:t>(i</w:t>
      </w:r>
      <w:r w:rsidR="00BA7EC6" w:rsidRPr="00CB0316">
        <w:rPr>
          <w:rFonts w:ascii="Times New Roman" w:hAnsi="Times New Roman"/>
        </w:rPr>
        <w:t>i</w:t>
      </w:r>
      <w:r w:rsidRPr="00CB0316">
        <w:rPr>
          <w:rFonts w:ascii="Times New Roman" w:hAnsi="Times New Roman"/>
        </w:rPr>
        <w:t>i)</w:t>
      </w:r>
      <w:r w:rsidRPr="00CB0316">
        <w:rPr>
          <w:rFonts w:ascii="Times New Roman" w:hAnsi="Times New Roman"/>
        </w:rPr>
        <w:tab/>
        <w:t>The subsection headed "Post-Issuance Reporting" on page 589 of the Original Offering Circular shall be deleted and replaced with the following:</w:t>
      </w:r>
    </w:p>
    <w:p w14:paraId="361E5D16" w14:textId="6BB79B14" w:rsidR="00EC0C76" w:rsidRPr="00CB0316" w:rsidRDefault="00CC667F" w:rsidP="00EC0C76">
      <w:pPr>
        <w:pStyle w:val="NormalOCAshurst"/>
        <w:ind w:left="709"/>
        <w:rPr>
          <w:b/>
          <w:bCs/>
          <w:i/>
          <w:iCs/>
        </w:rPr>
      </w:pPr>
      <w:r w:rsidRPr="00CB0316">
        <w:t>"</w:t>
      </w:r>
      <w:r w:rsidR="00EC0C76" w:rsidRPr="00CB0316">
        <w:rPr>
          <w:b/>
          <w:bCs/>
          <w:i/>
          <w:iCs/>
        </w:rPr>
        <w:t>Post-Issuance Reporting</w:t>
      </w:r>
    </w:p>
    <w:p w14:paraId="45E5F7D3" w14:textId="77777777" w:rsidR="00EC0C76" w:rsidRPr="00CB0316" w:rsidRDefault="00EC0C76" w:rsidP="00EC0C76">
      <w:pPr>
        <w:pStyle w:val="NormalOCAshurst"/>
        <w:ind w:left="709"/>
      </w:pPr>
      <w:r w:rsidRPr="00CB0316">
        <w:t>On an annual basis, JPMorgan Chase intends to prepare and make publicly available a report that will describe its allocation of the net proceeds of all outstanding Sustainable Securities, including any new issuances since its last report, to fund Eligible Projects within the Sustainable Asset Portfolio, at such level of detail as JPMorgan Chase deems practicable based on commercial, confidentiality and other relevant considerations. JPMorgan Chase intends to publish a report annually until the aggregate net proceeds of the relevant Sustainable Securities issuance(s) have been fully allocated to fund Eligible Projects, and thereafter, JPMorgan Chase may publish an update of any such report at its sole discretion.</w:t>
      </w:r>
    </w:p>
    <w:p w14:paraId="22612389" w14:textId="77777777" w:rsidR="00EC0C76" w:rsidRPr="00CB0316" w:rsidRDefault="00EC0C76" w:rsidP="00EC0C76">
      <w:pPr>
        <w:pStyle w:val="NormalOCAshurst"/>
        <w:ind w:left="709"/>
      </w:pPr>
      <w:r w:rsidRPr="00CB0316">
        <w:t>JPMorgan Chase expects that each report or update that it publishes concerning the allocation of the proceeds of Sustainable Securities issuances will:</w:t>
      </w:r>
    </w:p>
    <w:p w14:paraId="039CF5FF" w14:textId="77777777" w:rsidR="00EC0C76" w:rsidRPr="00CB0316" w:rsidRDefault="00EC0C76" w:rsidP="00EC0C76">
      <w:pPr>
        <w:pStyle w:val="BulletOCAshurst"/>
        <w:tabs>
          <w:tab w:val="clear" w:pos="1561"/>
          <w:tab w:val="num" w:pos="1276"/>
        </w:tabs>
        <w:ind w:left="1276" w:hanging="567"/>
        <w:rPr>
          <w:rFonts w:ascii="Times New Roman" w:hAnsi="Times New Roman"/>
        </w:rPr>
      </w:pPr>
      <w:r w:rsidRPr="00CB0316">
        <w:rPr>
          <w:rFonts w:ascii="Times New Roman" w:hAnsi="Times New Roman"/>
        </w:rPr>
        <w:t>contain an assertion by its management that the aggregate nominal amount of all Eligible Projects included in the Sustainable Asset Portfolio meets or exceeds the aggregate principal amount of all outstanding Sustainable Securities issued by JPMorgan Chase from and after October 2022, or in the event of any shortfall, an amount equal to the shortfall is temporarily invested in cash, cash equivalents and/or other high quality liquid assets pending allocation of that amount; and</w:t>
      </w:r>
    </w:p>
    <w:p w14:paraId="3795E618" w14:textId="77777777" w:rsidR="00EC0C76" w:rsidRPr="00CB0316" w:rsidRDefault="00EC0C76" w:rsidP="00EC0C76">
      <w:pPr>
        <w:pStyle w:val="BulletOCAshurst"/>
        <w:tabs>
          <w:tab w:val="clear" w:pos="1561"/>
          <w:tab w:val="num" w:pos="1276"/>
        </w:tabs>
        <w:ind w:left="1276" w:hanging="567"/>
        <w:rPr>
          <w:rFonts w:ascii="Times New Roman" w:hAnsi="Times New Roman"/>
        </w:rPr>
      </w:pPr>
      <w:r w:rsidRPr="00CB0316">
        <w:rPr>
          <w:rFonts w:ascii="Times New Roman" w:hAnsi="Times New Roman"/>
        </w:rPr>
        <w:t>be accompanied by a related report from an independent accountant or an independent third party consultant with experience in environmental, social and governance research and analysis.</w:t>
      </w:r>
    </w:p>
    <w:p w14:paraId="53B77D95" w14:textId="3A172160" w:rsidR="00EC0C76" w:rsidRPr="00CB0316" w:rsidRDefault="00EC0C76" w:rsidP="00CB38D6">
      <w:pPr>
        <w:pStyle w:val="NormalOCAshurst"/>
        <w:tabs>
          <w:tab w:val="num" w:pos="709"/>
        </w:tabs>
        <w:ind w:left="709"/>
      </w:pPr>
      <w:r w:rsidRPr="00CB0316">
        <w:t>JPMorgan Chase also intends to publish information, where feasible, concerning measures of the expected environmental or social impact of the Eligible Projects, as applicable, included in the Sustainable Asset Portfolio</w:t>
      </w:r>
      <w:bookmarkStart w:id="12" w:name="_Hlk132151625"/>
      <w:r w:rsidRPr="00CB0316">
        <w:t>.</w:t>
      </w:r>
      <w:bookmarkEnd w:id="12"/>
      <w:r w:rsidRPr="00CB0316">
        <w:t>"</w:t>
      </w:r>
    </w:p>
    <w:p w14:paraId="4C14B9D5" w14:textId="5AA2E82D" w:rsidR="00EC0C76" w:rsidRPr="00CB0316" w:rsidRDefault="00EC0C76" w:rsidP="0028206C">
      <w:pPr>
        <w:pStyle w:val="ListParagraph"/>
        <w:spacing w:line="288" w:lineRule="auto"/>
        <w:ind w:left="709"/>
        <w:rPr>
          <w:rFonts w:ascii="Times New Roman" w:hAnsi="Times New Roman"/>
          <w:bCs/>
          <w:sz w:val="20"/>
          <w:szCs w:val="20"/>
        </w:rPr>
        <w:sectPr w:rsidR="00EC0C76" w:rsidRPr="00CB0316" w:rsidSect="00BC417C">
          <w:headerReference w:type="even" r:id="rId15"/>
          <w:headerReference w:type="default" r:id="rId16"/>
          <w:footerReference w:type="even" r:id="rId17"/>
          <w:footerReference w:type="default" r:id="rId18"/>
          <w:headerReference w:type="first" r:id="rId19"/>
          <w:footerReference w:type="first" r:id="rId20"/>
          <w:type w:val="continuous"/>
          <w:pgSz w:w="11907" w:h="16840" w:code="9"/>
          <w:pgMar w:top="1440" w:right="1440" w:bottom="1440" w:left="1440" w:header="720" w:footer="720" w:gutter="0"/>
          <w:cols w:space="720"/>
          <w:docGrid w:linePitch="245"/>
        </w:sectPr>
      </w:pPr>
    </w:p>
    <w:p w14:paraId="6B73724D" w14:textId="2B163728" w:rsidR="006A0136" w:rsidRPr="00CB0316" w:rsidRDefault="00CF363F" w:rsidP="00BC417C">
      <w:pPr>
        <w:pStyle w:val="NormalOCAshurst"/>
        <w:rPr>
          <w:rFonts w:eastAsia="Microsoft JhengHei"/>
          <w:bCs/>
          <w:iCs/>
        </w:rPr>
      </w:pPr>
      <w:r w:rsidRPr="00CB0316">
        <w:rPr>
          <w:b/>
        </w:rPr>
        <w:lastRenderedPageBreak/>
        <w:t>General</w:t>
      </w:r>
    </w:p>
    <w:p w14:paraId="0B72C243" w14:textId="77777777" w:rsidR="00F13F6A" w:rsidRPr="00CB0316" w:rsidRDefault="00F13F6A" w:rsidP="00F13F6A">
      <w:pPr>
        <w:pStyle w:val="NormalAshurst"/>
        <w:spacing w:line="288" w:lineRule="auto"/>
        <w:rPr>
          <w:rFonts w:ascii="Times New Roman" w:hAnsi="Times New Roman" w:cs="Times New Roman"/>
          <w:sz w:val="20"/>
        </w:rPr>
      </w:pPr>
      <w:r w:rsidRPr="00CB0316">
        <w:rPr>
          <w:rFonts w:ascii="Times New Roman" w:hAnsi="Times New Roman" w:cs="Times New Roman"/>
          <w:sz w:val="20"/>
        </w:rPr>
        <w:t>To the extent that there is any inconsistency between (a) any statement in this Supplement or any statement incorporated by reference into the Offering Circular by this Supplement and (b) any other statement in or incorporated by reference into the Offering Circular, the statements in (a) above will prevail.</w:t>
      </w:r>
    </w:p>
    <w:p w14:paraId="40473355" w14:textId="5B3FEB26" w:rsidR="00F13F6A" w:rsidRPr="00CB0316" w:rsidRDefault="00F13F6A" w:rsidP="00F13F6A">
      <w:pPr>
        <w:pStyle w:val="NormalAshurst"/>
        <w:spacing w:line="288" w:lineRule="auto"/>
        <w:rPr>
          <w:rFonts w:ascii="Times New Roman" w:hAnsi="Times New Roman" w:cs="Times New Roman"/>
          <w:sz w:val="20"/>
        </w:rPr>
      </w:pPr>
      <w:r w:rsidRPr="00CB0316">
        <w:rPr>
          <w:rFonts w:ascii="Times New Roman" w:hAnsi="Times New Roman" w:cs="Times New Roman"/>
          <w:sz w:val="20"/>
        </w:rPr>
        <w:t>Investors who have not previously reviewed the information contained in the document</w:t>
      </w:r>
      <w:r w:rsidR="005750C5" w:rsidRPr="00CB0316">
        <w:rPr>
          <w:rFonts w:ascii="Times New Roman" w:hAnsi="Times New Roman" w:cs="Times New Roman"/>
          <w:sz w:val="20"/>
        </w:rPr>
        <w:t>s</w:t>
      </w:r>
      <w:r w:rsidRPr="00CB0316">
        <w:rPr>
          <w:rFonts w:ascii="Times New Roman" w:hAnsi="Times New Roman" w:cs="Times New Roman"/>
          <w:sz w:val="20"/>
        </w:rPr>
        <w:t xml:space="preserve"> incorporated by reference above should do so in connection with their evaluation of the Securities.</w:t>
      </w:r>
    </w:p>
    <w:p w14:paraId="58742305" w14:textId="5E352FFC" w:rsidR="00F13F6A" w:rsidRPr="00CB0316" w:rsidRDefault="00F13F6A" w:rsidP="00F13F6A">
      <w:pPr>
        <w:pStyle w:val="NormalAshurst"/>
        <w:spacing w:line="288" w:lineRule="auto"/>
        <w:rPr>
          <w:rFonts w:ascii="Times New Roman" w:hAnsi="Times New Roman" w:cs="Times New Roman"/>
          <w:sz w:val="20"/>
        </w:rPr>
      </w:pPr>
      <w:r w:rsidRPr="00CB0316">
        <w:rPr>
          <w:rFonts w:ascii="Times New Roman" w:hAnsi="Times New Roman" w:cs="Times New Roman"/>
          <w:sz w:val="20"/>
        </w:rPr>
        <w:t>This Supplement and the document</w:t>
      </w:r>
      <w:r w:rsidR="005750C5" w:rsidRPr="00CB0316">
        <w:rPr>
          <w:rFonts w:ascii="Times New Roman" w:hAnsi="Times New Roman" w:cs="Times New Roman"/>
          <w:sz w:val="20"/>
        </w:rPr>
        <w:t>s</w:t>
      </w:r>
      <w:r w:rsidRPr="00CB0316">
        <w:rPr>
          <w:rFonts w:ascii="Times New Roman" w:hAnsi="Times New Roman" w:cs="Times New Roman"/>
          <w:sz w:val="20"/>
        </w:rPr>
        <w:t xml:space="preserve"> incorporated by reference into it will be published on the Luxembourg Stock Exchange's website at </w:t>
      </w:r>
      <w:r w:rsidRPr="00CB0316">
        <w:rPr>
          <w:rFonts w:ascii="Times New Roman" w:hAnsi="Times New Roman" w:cs="Times New Roman"/>
          <w:i/>
          <w:iCs/>
          <w:sz w:val="20"/>
        </w:rPr>
        <w:t>www.luxse.com</w:t>
      </w:r>
      <w:r w:rsidRPr="00CB0316">
        <w:rPr>
          <w:rFonts w:ascii="Times New Roman" w:hAnsi="Times New Roman" w:cs="Times New Roman"/>
          <w:sz w:val="20"/>
        </w:rPr>
        <w:t>. In addition, any person receiving a copy of this Supplement may obtain, without charge, upon written or oral request, copies of the document</w:t>
      </w:r>
      <w:r w:rsidR="005750C5" w:rsidRPr="00CB0316">
        <w:rPr>
          <w:rFonts w:ascii="Times New Roman" w:hAnsi="Times New Roman" w:cs="Times New Roman"/>
          <w:sz w:val="20"/>
        </w:rPr>
        <w:t>s</w:t>
      </w:r>
      <w:r w:rsidRPr="00CB0316">
        <w:rPr>
          <w:rFonts w:ascii="Times New Roman" w:hAnsi="Times New Roman" w:cs="Times New Roman"/>
          <w:sz w:val="20"/>
        </w:rPr>
        <w:t xml:space="preserve"> incorporated by reference herein. Copies of the document</w:t>
      </w:r>
      <w:r w:rsidR="005750C5" w:rsidRPr="00CB0316">
        <w:rPr>
          <w:rFonts w:ascii="Times New Roman" w:hAnsi="Times New Roman" w:cs="Times New Roman"/>
          <w:sz w:val="20"/>
        </w:rPr>
        <w:t>s</w:t>
      </w:r>
      <w:r w:rsidRPr="00CB0316">
        <w:rPr>
          <w:rFonts w:ascii="Times New Roman" w:hAnsi="Times New Roman" w:cs="Times New Roman"/>
          <w:sz w:val="20"/>
        </w:rPr>
        <w:t xml:space="preserve"> incorporated by reference into this Supplement will be available free of charge during normal business hours on any weekday (Saturdays, Sundays and public holidays excepted), in physical or electronic form, at the office of the Principal Programme Agent  (The Bank of New York Mellon, London Branch, 160 Queen Victoria Street, London </w:t>
      </w:r>
      <w:proofErr w:type="spellStart"/>
      <w:r w:rsidRPr="00CB0316">
        <w:rPr>
          <w:rFonts w:ascii="Times New Roman" w:hAnsi="Times New Roman" w:cs="Times New Roman"/>
          <w:sz w:val="20"/>
        </w:rPr>
        <w:t>EC4V</w:t>
      </w:r>
      <w:proofErr w:type="spellEnd"/>
      <w:r w:rsidRPr="00CB0316">
        <w:rPr>
          <w:rFonts w:ascii="Times New Roman" w:hAnsi="Times New Roman" w:cs="Times New Roman"/>
          <w:sz w:val="20"/>
        </w:rPr>
        <w:t xml:space="preserve"> </w:t>
      </w:r>
      <w:proofErr w:type="spellStart"/>
      <w:r w:rsidRPr="00CB0316">
        <w:rPr>
          <w:rFonts w:ascii="Times New Roman" w:hAnsi="Times New Roman" w:cs="Times New Roman"/>
          <w:sz w:val="20"/>
        </w:rPr>
        <w:t>4LA</w:t>
      </w:r>
      <w:proofErr w:type="spellEnd"/>
      <w:r w:rsidRPr="00CB0316">
        <w:rPr>
          <w:rFonts w:ascii="Times New Roman" w:hAnsi="Times New Roman" w:cs="Times New Roman"/>
          <w:sz w:val="20"/>
        </w:rPr>
        <w:t xml:space="preserve">, United Kingdom), the office of the Paying Agent in Luxembourg (The Bank of New York Mellon S.A./N.V., Luxembourg Branch, Vertigo Building – Polaris, 2-4 rue Eugène Ruppert, L-2453 Luxembourg) and the office of the Irish Listing Agent (The Bank of New York Mellon S.A./N.V. Dublin Branch, Riverside 2, Sir John Rogerson's Quay, Grand Canal Dock, Dublin 2 Ireland). </w:t>
      </w:r>
    </w:p>
    <w:p w14:paraId="1D39542D" w14:textId="36894249" w:rsidR="00F13F6A" w:rsidRPr="00CB0316" w:rsidRDefault="00F13F6A" w:rsidP="00F13F6A">
      <w:pPr>
        <w:pStyle w:val="NormalAshurst"/>
        <w:spacing w:line="288" w:lineRule="auto"/>
        <w:rPr>
          <w:rFonts w:ascii="Times New Roman" w:hAnsi="Times New Roman" w:cs="Times New Roman"/>
          <w:sz w:val="20"/>
        </w:rPr>
      </w:pPr>
      <w:r w:rsidRPr="00CB0316">
        <w:rPr>
          <w:rFonts w:ascii="Times New Roman" w:hAnsi="Times New Roman" w:cs="Times New Roman"/>
          <w:sz w:val="20"/>
        </w:rPr>
        <w:t>This Supplement and the document</w:t>
      </w:r>
      <w:r w:rsidR="005750C5" w:rsidRPr="00CB0316">
        <w:rPr>
          <w:rFonts w:ascii="Times New Roman" w:hAnsi="Times New Roman" w:cs="Times New Roman"/>
          <w:sz w:val="20"/>
        </w:rPr>
        <w:t>s</w:t>
      </w:r>
      <w:r w:rsidRPr="00CB0316">
        <w:rPr>
          <w:rFonts w:ascii="Times New Roman" w:hAnsi="Times New Roman" w:cs="Times New Roman"/>
          <w:sz w:val="20"/>
        </w:rPr>
        <w:t xml:space="preserve"> incorporated by reference into and contained in it will be available free of charge during normal business hours at the offices of Credit Suisse, </w:t>
      </w:r>
      <w:r w:rsidR="005B3787" w:rsidRPr="00CB0316">
        <w:rPr>
          <w:rFonts w:ascii="Times New Roman" w:hAnsi="Times New Roman" w:cs="Times New Roman"/>
          <w:sz w:val="20"/>
        </w:rPr>
        <w:t xml:space="preserve">attn. Documentation &amp; Issuance Services, </w:t>
      </w:r>
      <w:proofErr w:type="spellStart"/>
      <w:r w:rsidR="005B3787" w:rsidRPr="00CB0316">
        <w:rPr>
          <w:rFonts w:ascii="Times New Roman" w:hAnsi="Times New Roman" w:cs="Times New Roman"/>
          <w:sz w:val="20"/>
        </w:rPr>
        <w:t>VZPD</w:t>
      </w:r>
      <w:proofErr w:type="spellEnd"/>
      <w:r w:rsidR="005B3787" w:rsidRPr="00CB0316">
        <w:rPr>
          <w:rFonts w:ascii="Times New Roman" w:hAnsi="Times New Roman" w:cs="Times New Roman"/>
          <w:sz w:val="20"/>
        </w:rPr>
        <w:t xml:space="preserve"> 5, P.O. Box, 8070 Zürich, Switzerland</w:t>
      </w:r>
      <w:r w:rsidRPr="00CB0316">
        <w:rPr>
          <w:rFonts w:ascii="Times New Roman" w:hAnsi="Times New Roman" w:cs="Times New Roman"/>
          <w:sz w:val="20"/>
        </w:rPr>
        <w:t>.</w:t>
      </w:r>
    </w:p>
    <w:p w14:paraId="21C18DD2" w14:textId="5DAF057F" w:rsidR="00833787" w:rsidRPr="00CB0316" w:rsidRDefault="00F13F6A" w:rsidP="00F13F6A">
      <w:pPr>
        <w:pStyle w:val="NormalAshurst"/>
        <w:spacing w:line="288" w:lineRule="auto"/>
        <w:rPr>
          <w:rFonts w:ascii="Times New Roman" w:hAnsi="Times New Roman" w:cs="Times New Roman"/>
          <w:sz w:val="20"/>
        </w:rPr>
      </w:pPr>
      <w:r w:rsidRPr="00CB0316">
        <w:rPr>
          <w:rFonts w:ascii="Times New Roman" w:hAnsi="Times New Roman" w:cs="Times New Roman"/>
          <w:sz w:val="20"/>
        </w:rPr>
        <w:t>By virtue of this Supplement, the document</w:t>
      </w:r>
      <w:r w:rsidR="005750C5" w:rsidRPr="00CB0316">
        <w:rPr>
          <w:rFonts w:ascii="Times New Roman" w:hAnsi="Times New Roman" w:cs="Times New Roman"/>
          <w:sz w:val="20"/>
        </w:rPr>
        <w:t>s</w:t>
      </w:r>
      <w:r w:rsidRPr="00CB0316">
        <w:rPr>
          <w:rFonts w:ascii="Times New Roman" w:hAnsi="Times New Roman" w:cs="Times New Roman"/>
          <w:sz w:val="20"/>
        </w:rPr>
        <w:t xml:space="preserve"> incorporated by reference and contained in this Supplement form a part of the Offering Circular.</w:t>
      </w:r>
    </w:p>
    <w:p w14:paraId="3F12FA94" w14:textId="77777777" w:rsidR="00833787" w:rsidRPr="00CB0316" w:rsidRDefault="00833787">
      <w:pPr>
        <w:spacing w:line="240" w:lineRule="auto"/>
        <w:jc w:val="left"/>
        <w:rPr>
          <w:rFonts w:ascii="Times New Roman" w:eastAsiaTheme="minorEastAsia" w:hAnsi="Times New Roman"/>
          <w:sz w:val="20"/>
          <w:szCs w:val="24"/>
          <w:lang w:eastAsia="zh-TW"/>
        </w:rPr>
      </w:pPr>
      <w:r w:rsidRPr="00CB0316">
        <w:rPr>
          <w:rFonts w:ascii="Times New Roman" w:hAnsi="Times New Roman"/>
          <w:sz w:val="20"/>
        </w:rPr>
        <w:br w:type="page"/>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40"/>
        <w:gridCol w:w="2841"/>
        <w:gridCol w:w="2841"/>
      </w:tblGrid>
      <w:tr w:rsidR="00125818" w:rsidRPr="00CB0316" w14:paraId="10E228DE" w14:textId="77777777" w:rsidTr="00B86868">
        <w:tc>
          <w:tcPr>
            <w:tcW w:w="8522" w:type="dxa"/>
            <w:gridSpan w:val="3"/>
          </w:tcPr>
          <w:p w14:paraId="5623C78C" w14:textId="77777777" w:rsidR="00833787" w:rsidRPr="00CB0316" w:rsidRDefault="00833787" w:rsidP="00B86868">
            <w:pPr>
              <w:pStyle w:val="StandardOCAshurst"/>
              <w:jc w:val="center"/>
              <w:rPr>
                <w:b/>
              </w:rPr>
            </w:pPr>
            <w:r w:rsidRPr="00CB0316">
              <w:rPr>
                <w:b/>
              </w:rPr>
              <w:lastRenderedPageBreak/>
              <w:t>Registered</w:t>
            </w:r>
            <w:r w:rsidRPr="00CB0316">
              <w:t xml:space="preserve"> </w:t>
            </w:r>
            <w:r w:rsidRPr="00CB0316">
              <w:rPr>
                <w:b/>
              </w:rPr>
              <w:t>Office of JPMSP</w:t>
            </w:r>
          </w:p>
          <w:p w14:paraId="35AB2026" w14:textId="77777777" w:rsidR="00833787" w:rsidRPr="00CB0316" w:rsidRDefault="00833787" w:rsidP="00B86868">
            <w:pPr>
              <w:pStyle w:val="StandardOCAshurst"/>
              <w:jc w:val="center"/>
              <w:rPr>
                <w:b/>
              </w:rPr>
            </w:pPr>
          </w:p>
          <w:p w14:paraId="00FD26ED" w14:textId="77777777" w:rsidR="00833787" w:rsidRPr="00CB0316" w:rsidRDefault="00833787" w:rsidP="00B86868">
            <w:pPr>
              <w:pStyle w:val="StandardOCAshurst"/>
              <w:jc w:val="center"/>
              <w:rPr>
                <w:b/>
              </w:rPr>
            </w:pPr>
            <w:r w:rsidRPr="00CB0316">
              <w:rPr>
                <w:b/>
              </w:rPr>
              <w:t>J.P. Morgan Structured Products B.V.</w:t>
            </w:r>
          </w:p>
          <w:p w14:paraId="0ACB12C4" w14:textId="77777777" w:rsidR="00833787" w:rsidRPr="00CB0316" w:rsidRDefault="00833787" w:rsidP="00B86868">
            <w:pPr>
              <w:pStyle w:val="StandardOCAshurst"/>
              <w:jc w:val="center"/>
            </w:pPr>
            <w:r w:rsidRPr="00CB0316">
              <w:t xml:space="preserve">Luna </w:t>
            </w:r>
            <w:proofErr w:type="spellStart"/>
            <w:r w:rsidRPr="00CB0316">
              <w:t>ArenA</w:t>
            </w:r>
            <w:proofErr w:type="spellEnd"/>
          </w:p>
          <w:p w14:paraId="2B9B9351" w14:textId="77777777" w:rsidR="00833787" w:rsidRPr="00CB0316" w:rsidRDefault="00833787" w:rsidP="00B86868">
            <w:pPr>
              <w:pStyle w:val="StandardOCAshurst"/>
              <w:jc w:val="center"/>
              <w:rPr>
                <w:lang w:val="de-DE"/>
              </w:rPr>
            </w:pPr>
            <w:proofErr w:type="spellStart"/>
            <w:r w:rsidRPr="00CB0316">
              <w:rPr>
                <w:lang w:val="de-DE"/>
              </w:rPr>
              <w:t>Herikerbergweg</w:t>
            </w:r>
            <w:proofErr w:type="spellEnd"/>
            <w:r w:rsidRPr="00CB0316">
              <w:rPr>
                <w:lang w:val="de-DE"/>
              </w:rPr>
              <w:t xml:space="preserve"> 238</w:t>
            </w:r>
          </w:p>
          <w:p w14:paraId="0A6F4C8E" w14:textId="77777777" w:rsidR="00833787" w:rsidRPr="00CB0316" w:rsidRDefault="00833787" w:rsidP="00B86868">
            <w:pPr>
              <w:pStyle w:val="StandardOCAshurst"/>
              <w:jc w:val="center"/>
              <w:rPr>
                <w:lang w:val="de-DE"/>
              </w:rPr>
            </w:pPr>
            <w:r w:rsidRPr="00CB0316">
              <w:rPr>
                <w:lang w:val="de-DE"/>
              </w:rPr>
              <w:t>1101 CM Amsterdam</w:t>
            </w:r>
          </w:p>
          <w:p w14:paraId="6AD88F4E" w14:textId="77777777" w:rsidR="00833787" w:rsidRPr="00CB0316" w:rsidRDefault="00833787" w:rsidP="00B86868">
            <w:pPr>
              <w:pStyle w:val="StandardOCAshurst"/>
              <w:jc w:val="center"/>
              <w:rPr>
                <w:lang w:val="de-DE"/>
              </w:rPr>
            </w:pPr>
            <w:r w:rsidRPr="00CB0316">
              <w:rPr>
                <w:lang w:val="de-DE"/>
              </w:rPr>
              <w:t>The Netherlands</w:t>
            </w:r>
          </w:p>
          <w:p w14:paraId="10FE8FDF" w14:textId="77777777" w:rsidR="00833787" w:rsidRPr="00CB0316" w:rsidRDefault="00833787" w:rsidP="00B86868">
            <w:pPr>
              <w:pStyle w:val="StandardOCAshurst"/>
              <w:jc w:val="center"/>
              <w:rPr>
                <w:lang w:val="de-DE"/>
              </w:rPr>
            </w:pPr>
          </w:p>
        </w:tc>
      </w:tr>
      <w:tr w:rsidR="00125818" w:rsidRPr="00CB0316" w14:paraId="60157C89" w14:textId="77777777" w:rsidTr="00B86868">
        <w:tc>
          <w:tcPr>
            <w:tcW w:w="2840" w:type="dxa"/>
          </w:tcPr>
          <w:p w14:paraId="4F4691BB" w14:textId="77777777" w:rsidR="00833787" w:rsidRPr="00CB0316" w:rsidRDefault="00833787" w:rsidP="00B86868">
            <w:pPr>
              <w:pStyle w:val="StandardOCAshurst"/>
              <w:jc w:val="center"/>
              <w:rPr>
                <w:b/>
              </w:rPr>
            </w:pPr>
            <w:r w:rsidRPr="00CB0316">
              <w:rPr>
                <w:b/>
              </w:rPr>
              <w:t>Registered Office of</w:t>
            </w:r>
          </w:p>
          <w:p w14:paraId="61519EE7" w14:textId="77777777" w:rsidR="00833787" w:rsidRPr="00CB0316" w:rsidRDefault="00833787" w:rsidP="00B86868">
            <w:pPr>
              <w:pStyle w:val="StandardOCAshurst"/>
              <w:jc w:val="center"/>
            </w:pPr>
            <w:r w:rsidRPr="00CB0316">
              <w:rPr>
                <w:b/>
              </w:rPr>
              <w:t>JPMorgan Chase Bank, N.A.</w:t>
            </w:r>
          </w:p>
        </w:tc>
        <w:tc>
          <w:tcPr>
            <w:tcW w:w="2841" w:type="dxa"/>
          </w:tcPr>
          <w:p w14:paraId="1349FA4F" w14:textId="77777777" w:rsidR="00833787" w:rsidRPr="00CB0316" w:rsidRDefault="00833787" w:rsidP="00B86868">
            <w:pPr>
              <w:pStyle w:val="NormalOCAshurst"/>
              <w:jc w:val="center"/>
            </w:pPr>
            <w:r w:rsidRPr="00CB0316">
              <w:rPr>
                <w:b/>
              </w:rPr>
              <w:t>Principal Executive Office of JPMCFC</w:t>
            </w:r>
          </w:p>
        </w:tc>
        <w:tc>
          <w:tcPr>
            <w:tcW w:w="2841" w:type="dxa"/>
          </w:tcPr>
          <w:p w14:paraId="18145BE1" w14:textId="77777777" w:rsidR="00833787" w:rsidRPr="00CB0316" w:rsidRDefault="00833787" w:rsidP="00B86868">
            <w:pPr>
              <w:pStyle w:val="NormalOCAshurst"/>
              <w:jc w:val="center"/>
            </w:pPr>
            <w:r w:rsidRPr="00CB0316">
              <w:rPr>
                <w:b/>
              </w:rPr>
              <w:t>Principal Office of JPMorgan Chase &amp; Co.</w:t>
            </w:r>
          </w:p>
        </w:tc>
      </w:tr>
      <w:tr w:rsidR="00125818" w:rsidRPr="00CB0316" w14:paraId="19D57960" w14:textId="77777777" w:rsidTr="00B86868">
        <w:tc>
          <w:tcPr>
            <w:tcW w:w="2840" w:type="dxa"/>
          </w:tcPr>
          <w:p w14:paraId="33577DA5" w14:textId="77777777" w:rsidR="00833787" w:rsidRPr="00CB0316" w:rsidRDefault="00833787" w:rsidP="00B86868">
            <w:pPr>
              <w:pStyle w:val="StandardOCAshurst"/>
              <w:jc w:val="center"/>
              <w:rPr>
                <w:b/>
              </w:rPr>
            </w:pPr>
            <w:r w:rsidRPr="00CB0316">
              <w:rPr>
                <w:b/>
              </w:rPr>
              <w:t>JPMorgan Chase Bank, N.A.</w:t>
            </w:r>
          </w:p>
          <w:p w14:paraId="3E7BEFAB" w14:textId="77777777" w:rsidR="00833787" w:rsidRPr="00CB0316" w:rsidRDefault="00833787" w:rsidP="00B86868">
            <w:pPr>
              <w:pStyle w:val="StandardOCAshurst"/>
              <w:jc w:val="center"/>
            </w:pPr>
            <w:r w:rsidRPr="00CB0316">
              <w:t>1111 Polaris Parkway</w:t>
            </w:r>
          </w:p>
          <w:p w14:paraId="33A64CF6" w14:textId="77777777" w:rsidR="00833787" w:rsidRPr="00CB0316" w:rsidRDefault="00833787" w:rsidP="00B86868">
            <w:pPr>
              <w:pStyle w:val="StandardOCAshurst"/>
              <w:jc w:val="center"/>
            </w:pPr>
            <w:r w:rsidRPr="00CB0316">
              <w:t>Columbus, Ohio 43240</w:t>
            </w:r>
          </w:p>
          <w:p w14:paraId="0DE34B0B" w14:textId="77777777" w:rsidR="00833787" w:rsidRPr="00CB0316" w:rsidRDefault="00833787" w:rsidP="00B86868">
            <w:pPr>
              <w:pStyle w:val="StandardOCAshurst"/>
              <w:jc w:val="center"/>
            </w:pPr>
            <w:r w:rsidRPr="00CB0316">
              <w:t>United States of America</w:t>
            </w:r>
          </w:p>
          <w:p w14:paraId="63C29805" w14:textId="77777777" w:rsidR="00833787" w:rsidRPr="00CB0316" w:rsidRDefault="00833787" w:rsidP="00B86868">
            <w:pPr>
              <w:pStyle w:val="StandardOCAshurst"/>
              <w:jc w:val="center"/>
              <w:rPr>
                <w:b/>
              </w:rPr>
            </w:pPr>
          </w:p>
        </w:tc>
        <w:tc>
          <w:tcPr>
            <w:tcW w:w="2841" w:type="dxa"/>
          </w:tcPr>
          <w:p w14:paraId="3B4EEC68" w14:textId="77777777" w:rsidR="00833787" w:rsidRPr="00CB0316" w:rsidRDefault="00833787" w:rsidP="00B86868">
            <w:pPr>
              <w:pStyle w:val="StandardOCAshurst"/>
              <w:jc w:val="center"/>
              <w:rPr>
                <w:b/>
              </w:rPr>
            </w:pPr>
            <w:r w:rsidRPr="00CB0316">
              <w:rPr>
                <w:b/>
              </w:rPr>
              <w:t>JPMorgan Chase Financial Company LLC</w:t>
            </w:r>
          </w:p>
          <w:p w14:paraId="5DD01D88" w14:textId="77777777" w:rsidR="00833787" w:rsidRPr="00CB0316" w:rsidRDefault="00833787" w:rsidP="00B86868">
            <w:pPr>
              <w:pStyle w:val="StandardOCAshurst"/>
              <w:jc w:val="center"/>
            </w:pPr>
            <w:r w:rsidRPr="00CB0316">
              <w:t>383 Madison Avenue</w:t>
            </w:r>
          </w:p>
          <w:p w14:paraId="1409DCC0" w14:textId="77777777" w:rsidR="00833787" w:rsidRPr="00CB0316" w:rsidRDefault="00833787" w:rsidP="00B86868">
            <w:pPr>
              <w:pStyle w:val="StandardOCAshurst"/>
              <w:jc w:val="center"/>
            </w:pPr>
            <w:r w:rsidRPr="00CB0316">
              <w:t>New York, New York 10179</w:t>
            </w:r>
          </w:p>
          <w:p w14:paraId="59666C45" w14:textId="77777777" w:rsidR="00833787" w:rsidRPr="00CB0316" w:rsidRDefault="00833787" w:rsidP="00B86868">
            <w:pPr>
              <w:pStyle w:val="StandardOCAshurst"/>
              <w:jc w:val="center"/>
            </w:pPr>
            <w:r w:rsidRPr="00CB0316">
              <w:t>United States of America</w:t>
            </w:r>
          </w:p>
          <w:p w14:paraId="49546796" w14:textId="77777777" w:rsidR="00833787" w:rsidRPr="00CB0316" w:rsidRDefault="00833787" w:rsidP="00B86868">
            <w:pPr>
              <w:pStyle w:val="StandardOCAshurst"/>
              <w:jc w:val="center"/>
              <w:rPr>
                <w:b/>
              </w:rPr>
            </w:pPr>
          </w:p>
        </w:tc>
        <w:tc>
          <w:tcPr>
            <w:tcW w:w="2841" w:type="dxa"/>
          </w:tcPr>
          <w:p w14:paraId="4616BB23" w14:textId="77777777" w:rsidR="00833787" w:rsidRPr="00CB0316" w:rsidRDefault="00833787" w:rsidP="00B86868">
            <w:pPr>
              <w:pStyle w:val="StandardOCAshurst"/>
              <w:jc w:val="center"/>
              <w:rPr>
                <w:b/>
              </w:rPr>
            </w:pPr>
            <w:r w:rsidRPr="00CB0316">
              <w:rPr>
                <w:b/>
              </w:rPr>
              <w:t>JPMorgan Chase &amp; Co.</w:t>
            </w:r>
          </w:p>
          <w:p w14:paraId="7115F8CA" w14:textId="77777777" w:rsidR="00833787" w:rsidRPr="00CB0316" w:rsidRDefault="00833787" w:rsidP="00B86868">
            <w:pPr>
              <w:pStyle w:val="StandardOCAshurst"/>
              <w:jc w:val="center"/>
            </w:pPr>
            <w:r w:rsidRPr="00CB0316">
              <w:t>383 Madison Avenue</w:t>
            </w:r>
          </w:p>
          <w:p w14:paraId="72F65DBB" w14:textId="77777777" w:rsidR="00833787" w:rsidRPr="00CB0316" w:rsidRDefault="00833787" w:rsidP="00B86868">
            <w:pPr>
              <w:pStyle w:val="StandardOCAshurst"/>
              <w:jc w:val="center"/>
            </w:pPr>
            <w:r w:rsidRPr="00CB0316">
              <w:t>New York, New York 10179</w:t>
            </w:r>
          </w:p>
          <w:p w14:paraId="7076D4FA" w14:textId="77777777" w:rsidR="00833787" w:rsidRPr="00CB0316" w:rsidRDefault="00833787" w:rsidP="00B86868">
            <w:pPr>
              <w:pStyle w:val="StandardOCAshurst"/>
              <w:jc w:val="center"/>
              <w:rPr>
                <w:b/>
              </w:rPr>
            </w:pPr>
            <w:r w:rsidRPr="00CB0316">
              <w:t>United States of America</w:t>
            </w:r>
          </w:p>
        </w:tc>
      </w:tr>
      <w:tr w:rsidR="00125818" w:rsidRPr="00CB0316" w14:paraId="00425924" w14:textId="77777777" w:rsidTr="00B86868">
        <w:tc>
          <w:tcPr>
            <w:tcW w:w="2840" w:type="dxa"/>
          </w:tcPr>
          <w:p w14:paraId="2D9E29C6" w14:textId="77777777" w:rsidR="00833787" w:rsidRPr="00CB0316" w:rsidRDefault="00833787" w:rsidP="00B86868">
            <w:pPr>
              <w:pStyle w:val="StandardOCAshurst"/>
              <w:jc w:val="center"/>
              <w:rPr>
                <w:b/>
              </w:rPr>
            </w:pPr>
          </w:p>
        </w:tc>
        <w:tc>
          <w:tcPr>
            <w:tcW w:w="2841" w:type="dxa"/>
          </w:tcPr>
          <w:p w14:paraId="27B558DD" w14:textId="77777777" w:rsidR="00833787" w:rsidRPr="00CB0316" w:rsidRDefault="00833787" w:rsidP="00B86868">
            <w:pPr>
              <w:pStyle w:val="StandardOCAshurst"/>
              <w:jc w:val="center"/>
              <w:rPr>
                <w:b/>
              </w:rPr>
            </w:pPr>
            <w:r w:rsidRPr="00CB0316">
              <w:rPr>
                <w:b/>
              </w:rPr>
              <w:t>Dealer and Arranger</w:t>
            </w:r>
          </w:p>
          <w:p w14:paraId="731ED825" w14:textId="77777777" w:rsidR="00833787" w:rsidRPr="00CB0316" w:rsidRDefault="00833787" w:rsidP="00B86868">
            <w:pPr>
              <w:pStyle w:val="StandardOCAshurst"/>
              <w:jc w:val="center"/>
              <w:rPr>
                <w:b/>
              </w:rPr>
            </w:pPr>
          </w:p>
        </w:tc>
        <w:tc>
          <w:tcPr>
            <w:tcW w:w="2841" w:type="dxa"/>
          </w:tcPr>
          <w:p w14:paraId="0156F6AF" w14:textId="77777777" w:rsidR="00833787" w:rsidRPr="00CB0316" w:rsidRDefault="00833787" w:rsidP="00B86868">
            <w:pPr>
              <w:pStyle w:val="StandardOCAshurst"/>
              <w:jc w:val="center"/>
              <w:rPr>
                <w:b/>
              </w:rPr>
            </w:pPr>
          </w:p>
        </w:tc>
      </w:tr>
      <w:tr w:rsidR="00125818" w:rsidRPr="00CB0316" w14:paraId="136881A1" w14:textId="77777777" w:rsidTr="00B86868">
        <w:tc>
          <w:tcPr>
            <w:tcW w:w="2840" w:type="dxa"/>
          </w:tcPr>
          <w:p w14:paraId="0C626B16" w14:textId="77777777" w:rsidR="00833787" w:rsidRPr="00CB0316" w:rsidRDefault="00833787" w:rsidP="00B86868">
            <w:pPr>
              <w:pStyle w:val="StandardOCAshurst"/>
              <w:jc w:val="center"/>
              <w:rPr>
                <w:b/>
              </w:rPr>
            </w:pPr>
          </w:p>
        </w:tc>
        <w:tc>
          <w:tcPr>
            <w:tcW w:w="2841" w:type="dxa"/>
          </w:tcPr>
          <w:p w14:paraId="36B2E207" w14:textId="77777777" w:rsidR="00833787" w:rsidRPr="00CB0316" w:rsidRDefault="00833787" w:rsidP="00B86868">
            <w:pPr>
              <w:pStyle w:val="StandardOCAshurst"/>
              <w:jc w:val="center"/>
              <w:rPr>
                <w:b/>
              </w:rPr>
            </w:pPr>
            <w:r w:rsidRPr="00CB0316">
              <w:rPr>
                <w:b/>
              </w:rPr>
              <w:t>J.P. Morgan Securities plc</w:t>
            </w:r>
          </w:p>
          <w:p w14:paraId="0795E902" w14:textId="77777777" w:rsidR="00833787" w:rsidRPr="00CB0316" w:rsidRDefault="00833787" w:rsidP="00B86868">
            <w:pPr>
              <w:pStyle w:val="StandardOCAshurst"/>
              <w:jc w:val="center"/>
            </w:pPr>
            <w:r w:rsidRPr="00CB0316">
              <w:t>25 Bank Street</w:t>
            </w:r>
          </w:p>
          <w:p w14:paraId="1D18A9A0" w14:textId="77777777" w:rsidR="00833787" w:rsidRPr="00CB0316" w:rsidRDefault="00833787" w:rsidP="00B86868">
            <w:pPr>
              <w:pStyle w:val="StandardOCAshurst"/>
              <w:jc w:val="center"/>
            </w:pPr>
            <w:r w:rsidRPr="00CB0316">
              <w:t>Canary Wharf</w:t>
            </w:r>
          </w:p>
          <w:p w14:paraId="563025EE" w14:textId="77777777" w:rsidR="00833787" w:rsidRPr="00CB0316" w:rsidRDefault="00833787" w:rsidP="00B86868">
            <w:pPr>
              <w:pStyle w:val="StandardOCAshurst"/>
              <w:jc w:val="center"/>
            </w:pPr>
            <w:r w:rsidRPr="00CB0316">
              <w:t xml:space="preserve">London, </w:t>
            </w:r>
            <w:proofErr w:type="spellStart"/>
            <w:r w:rsidRPr="00CB0316">
              <w:t>E14</w:t>
            </w:r>
            <w:proofErr w:type="spellEnd"/>
            <w:r w:rsidRPr="00CB0316">
              <w:t xml:space="preserve"> </w:t>
            </w:r>
            <w:proofErr w:type="spellStart"/>
            <w:r w:rsidRPr="00CB0316">
              <w:t>5JP</w:t>
            </w:r>
            <w:proofErr w:type="spellEnd"/>
          </w:p>
          <w:p w14:paraId="102C0E41" w14:textId="77777777" w:rsidR="00833787" w:rsidRPr="00CB0316" w:rsidRDefault="00833787" w:rsidP="00B86868">
            <w:pPr>
              <w:pStyle w:val="StandardOCAshurst"/>
              <w:jc w:val="center"/>
            </w:pPr>
            <w:r w:rsidRPr="00CB0316">
              <w:t>United Kingdom</w:t>
            </w:r>
          </w:p>
          <w:p w14:paraId="052B9195" w14:textId="77777777" w:rsidR="00833787" w:rsidRPr="00CB0316" w:rsidRDefault="00833787" w:rsidP="00B86868">
            <w:pPr>
              <w:pStyle w:val="StandardOCAshurst"/>
              <w:jc w:val="center"/>
              <w:rPr>
                <w:b/>
              </w:rPr>
            </w:pPr>
          </w:p>
        </w:tc>
        <w:tc>
          <w:tcPr>
            <w:tcW w:w="2841" w:type="dxa"/>
          </w:tcPr>
          <w:p w14:paraId="737CBCEB" w14:textId="77777777" w:rsidR="00833787" w:rsidRPr="00CB0316" w:rsidRDefault="00833787" w:rsidP="00B86868">
            <w:pPr>
              <w:pStyle w:val="StandardOCAshurst"/>
              <w:jc w:val="center"/>
              <w:rPr>
                <w:b/>
              </w:rPr>
            </w:pPr>
          </w:p>
        </w:tc>
      </w:tr>
      <w:tr w:rsidR="00125818" w:rsidRPr="00CB0316" w14:paraId="02E5C3E6" w14:textId="77777777" w:rsidTr="00B86868">
        <w:tc>
          <w:tcPr>
            <w:tcW w:w="2840" w:type="dxa"/>
          </w:tcPr>
          <w:p w14:paraId="2B41B383" w14:textId="77777777" w:rsidR="00833787" w:rsidRPr="00CB0316" w:rsidRDefault="00833787" w:rsidP="00B86868">
            <w:pPr>
              <w:pStyle w:val="StandardOCAshurst"/>
              <w:jc w:val="center"/>
              <w:rPr>
                <w:b/>
              </w:rPr>
            </w:pPr>
          </w:p>
        </w:tc>
        <w:tc>
          <w:tcPr>
            <w:tcW w:w="2841" w:type="dxa"/>
          </w:tcPr>
          <w:p w14:paraId="12908102" w14:textId="77777777" w:rsidR="00833787" w:rsidRPr="00CB0316" w:rsidRDefault="00833787" w:rsidP="00B86868">
            <w:pPr>
              <w:pStyle w:val="StandardOCAshurst"/>
              <w:jc w:val="center"/>
              <w:rPr>
                <w:b/>
              </w:rPr>
            </w:pPr>
            <w:r w:rsidRPr="00CB0316">
              <w:rPr>
                <w:b/>
              </w:rPr>
              <w:t>Dealers</w:t>
            </w:r>
          </w:p>
          <w:p w14:paraId="4CB1EA17" w14:textId="77777777" w:rsidR="00833787" w:rsidRPr="00CB0316" w:rsidRDefault="00833787" w:rsidP="00B86868">
            <w:pPr>
              <w:pStyle w:val="StandardOCAshurst"/>
              <w:jc w:val="center"/>
              <w:rPr>
                <w:b/>
              </w:rPr>
            </w:pPr>
          </w:p>
        </w:tc>
        <w:tc>
          <w:tcPr>
            <w:tcW w:w="2841" w:type="dxa"/>
          </w:tcPr>
          <w:p w14:paraId="606E4F51" w14:textId="77777777" w:rsidR="00833787" w:rsidRPr="00CB0316" w:rsidRDefault="00833787" w:rsidP="00B86868">
            <w:pPr>
              <w:pStyle w:val="StandardOCAshurst"/>
              <w:jc w:val="center"/>
              <w:rPr>
                <w:b/>
              </w:rPr>
            </w:pPr>
          </w:p>
        </w:tc>
      </w:tr>
      <w:tr w:rsidR="00125818" w:rsidRPr="00CB0316" w14:paraId="3E8570E5" w14:textId="77777777" w:rsidTr="00B86868">
        <w:tc>
          <w:tcPr>
            <w:tcW w:w="2840" w:type="dxa"/>
          </w:tcPr>
          <w:p w14:paraId="4399107E" w14:textId="77777777" w:rsidR="00833787" w:rsidRPr="00CB0316" w:rsidRDefault="00833787" w:rsidP="00B86868">
            <w:pPr>
              <w:pStyle w:val="StandardOCAshurst"/>
              <w:jc w:val="center"/>
              <w:rPr>
                <w:b/>
              </w:rPr>
            </w:pPr>
            <w:r w:rsidRPr="00CB0316">
              <w:rPr>
                <w:b/>
              </w:rPr>
              <w:t>J.P. Morgan Securities LLC</w:t>
            </w:r>
          </w:p>
          <w:p w14:paraId="621A859E" w14:textId="77777777" w:rsidR="00833787" w:rsidRPr="00CB0316" w:rsidRDefault="00833787" w:rsidP="00B86868">
            <w:pPr>
              <w:pStyle w:val="StandardOCAshurst"/>
              <w:jc w:val="center"/>
            </w:pPr>
            <w:r w:rsidRPr="00CB0316">
              <w:t>383 Madison Avenue</w:t>
            </w:r>
          </w:p>
          <w:p w14:paraId="2E84F90F" w14:textId="77777777" w:rsidR="00833787" w:rsidRPr="00CB0316" w:rsidRDefault="00833787" w:rsidP="00B86868">
            <w:pPr>
              <w:pStyle w:val="StandardOCAshurst"/>
              <w:jc w:val="center"/>
            </w:pPr>
            <w:r w:rsidRPr="00CB0316">
              <w:t>5th Floor</w:t>
            </w:r>
          </w:p>
          <w:p w14:paraId="3E537530" w14:textId="77777777" w:rsidR="00833787" w:rsidRPr="00CB0316" w:rsidRDefault="00833787" w:rsidP="00B86868">
            <w:pPr>
              <w:pStyle w:val="StandardOCAshurst"/>
              <w:jc w:val="center"/>
            </w:pPr>
            <w:r w:rsidRPr="00CB0316">
              <w:t>New York, New York 10179</w:t>
            </w:r>
          </w:p>
          <w:p w14:paraId="22C389E2" w14:textId="77777777" w:rsidR="00833787" w:rsidRPr="00CB0316" w:rsidRDefault="00833787" w:rsidP="00B86868">
            <w:pPr>
              <w:pStyle w:val="StandardOCAshurst"/>
              <w:jc w:val="center"/>
            </w:pPr>
            <w:r w:rsidRPr="00CB0316">
              <w:t>United States of America</w:t>
            </w:r>
          </w:p>
          <w:p w14:paraId="428D559A" w14:textId="77777777" w:rsidR="00833787" w:rsidRPr="00CB0316" w:rsidRDefault="00833787" w:rsidP="00B86868">
            <w:pPr>
              <w:pStyle w:val="StandardOCAshurst"/>
              <w:jc w:val="center"/>
              <w:rPr>
                <w:b/>
              </w:rPr>
            </w:pPr>
          </w:p>
          <w:p w14:paraId="4319DF1E" w14:textId="77777777" w:rsidR="00833787" w:rsidRPr="00CB0316" w:rsidRDefault="00833787" w:rsidP="00B86868">
            <w:pPr>
              <w:pStyle w:val="StandardOCAshurst"/>
              <w:jc w:val="center"/>
              <w:rPr>
                <w:b/>
              </w:rPr>
            </w:pPr>
            <w:r w:rsidRPr="00CB0316">
              <w:rPr>
                <w:b/>
              </w:rPr>
              <w:t>J.P. Morgan Securities Australia Limited</w:t>
            </w:r>
          </w:p>
          <w:p w14:paraId="52916A7F" w14:textId="77777777" w:rsidR="00833787" w:rsidRPr="00CB0316" w:rsidRDefault="00833787" w:rsidP="00B86868">
            <w:pPr>
              <w:pStyle w:val="StandardOCAshurst"/>
              <w:jc w:val="center"/>
            </w:pPr>
            <w:r w:rsidRPr="00CB0316">
              <w:t>Level 18</w:t>
            </w:r>
          </w:p>
          <w:p w14:paraId="2FAF79DB" w14:textId="77777777" w:rsidR="00833787" w:rsidRPr="00CB0316" w:rsidRDefault="00833787" w:rsidP="00B86868">
            <w:pPr>
              <w:pStyle w:val="StandardOCAshurst"/>
              <w:jc w:val="center"/>
            </w:pPr>
            <w:r w:rsidRPr="00CB0316">
              <w:t>85 Castlereagh Street,</w:t>
            </w:r>
          </w:p>
          <w:p w14:paraId="79E299BA" w14:textId="77777777" w:rsidR="00833787" w:rsidRPr="00CB0316" w:rsidRDefault="00833787" w:rsidP="00B86868">
            <w:pPr>
              <w:pStyle w:val="StandardOCAshurst"/>
              <w:jc w:val="center"/>
            </w:pPr>
            <w:r w:rsidRPr="00CB0316">
              <w:t>Sydney NSW 2000</w:t>
            </w:r>
          </w:p>
          <w:p w14:paraId="0530663E" w14:textId="77777777" w:rsidR="00833787" w:rsidRPr="00CB0316" w:rsidRDefault="00833787" w:rsidP="00B86868">
            <w:pPr>
              <w:pStyle w:val="StandardOCAshurst"/>
              <w:jc w:val="center"/>
              <w:rPr>
                <w:b/>
              </w:rPr>
            </w:pPr>
            <w:r w:rsidRPr="00CB0316">
              <w:t>Australia</w:t>
            </w:r>
          </w:p>
        </w:tc>
        <w:tc>
          <w:tcPr>
            <w:tcW w:w="2841" w:type="dxa"/>
          </w:tcPr>
          <w:p w14:paraId="2CCEFAC4" w14:textId="77777777" w:rsidR="00833787" w:rsidRPr="00CB0316" w:rsidRDefault="00833787" w:rsidP="00B86868">
            <w:pPr>
              <w:pStyle w:val="StandardOCAshurst"/>
              <w:jc w:val="center"/>
              <w:rPr>
                <w:b/>
                <w:lang w:val="de-DE"/>
              </w:rPr>
            </w:pPr>
            <w:proofErr w:type="spellStart"/>
            <w:r w:rsidRPr="00CB0316">
              <w:rPr>
                <w:b/>
                <w:lang w:val="de-DE"/>
              </w:rPr>
              <w:t>J.P</w:t>
            </w:r>
            <w:proofErr w:type="spellEnd"/>
            <w:r w:rsidRPr="00CB0316">
              <w:rPr>
                <w:b/>
                <w:lang w:val="de-DE"/>
              </w:rPr>
              <w:t>. Morgan SE</w:t>
            </w:r>
          </w:p>
          <w:p w14:paraId="1B770B6B" w14:textId="77777777" w:rsidR="00833787" w:rsidRPr="00CB0316" w:rsidRDefault="00833787" w:rsidP="00B86868">
            <w:pPr>
              <w:pStyle w:val="StandardOCAshurst"/>
              <w:jc w:val="center"/>
              <w:rPr>
                <w:lang w:val="de-DE"/>
              </w:rPr>
            </w:pPr>
            <w:proofErr w:type="spellStart"/>
            <w:r w:rsidRPr="00CB0316">
              <w:rPr>
                <w:lang w:val="de-DE"/>
              </w:rPr>
              <w:t>TaunusTurm</w:t>
            </w:r>
            <w:proofErr w:type="spellEnd"/>
          </w:p>
          <w:p w14:paraId="40FDD606" w14:textId="77777777" w:rsidR="00833787" w:rsidRPr="00CB0316" w:rsidRDefault="00833787" w:rsidP="00B86868">
            <w:pPr>
              <w:pStyle w:val="StandardOCAshurst"/>
              <w:jc w:val="center"/>
              <w:rPr>
                <w:lang w:val="de-DE"/>
              </w:rPr>
            </w:pPr>
            <w:r w:rsidRPr="00CB0316">
              <w:rPr>
                <w:lang w:val="de-DE"/>
              </w:rPr>
              <w:t>Taunustor 1</w:t>
            </w:r>
          </w:p>
          <w:p w14:paraId="650868F6" w14:textId="77777777" w:rsidR="00833787" w:rsidRPr="00CB0316" w:rsidRDefault="00833787" w:rsidP="00B86868">
            <w:pPr>
              <w:pStyle w:val="StandardOCAshurst"/>
              <w:jc w:val="center"/>
              <w:rPr>
                <w:lang w:val="de-DE"/>
              </w:rPr>
            </w:pPr>
            <w:r w:rsidRPr="00CB0316">
              <w:rPr>
                <w:lang w:val="de-DE"/>
              </w:rPr>
              <w:t>60310 Frankfurt am Main</w:t>
            </w:r>
          </w:p>
          <w:p w14:paraId="0EAF9BD5" w14:textId="77777777" w:rsidR="00833787" w:rsidRPr="00CB0316" w:rsidRDefault="00833787" w:rsidP="00B86868">
            <w:pPr>
              <w:pStyle w:val="StandardOCAshurst"/>
              <w:jc w:val="center"/>
              <w:rPr>
                <w:b/>
                <w:lang w:val="de-DE"/>
              </w:rPr>
            </w:pPr>
            <w:r w:rsidRPr="00CB0316">
              <w:rPr>
                <w:lang w:val="de-DE"/>
              </w:rPr>
              <w:t>Germany</w:t>
            </w:r>
          </w:p>
        </w:tc>
        <w:tc>
          <w:tcPr>
            <w:tcW w:w="2841" w:type="dxa"/>
          </w:tcPr>
          <w:p w14:paraId="01F9F487" w14:textId="77777777" w:rsidR="00833787" w:rsidRPr="00CB0316" w:rsidRDefault="00833787" w:rsidP="00B86868">
            <w:pPr>
              <w:pStyle w:val="StandardOCAshurst"/>
              <w:jc w:val="center"/>
            </w:pPr>
            <w:r w:rsidRPr="00CB0316">
              <w:rPr>
                <w:b/>
              </w:rPr>
              <w:t>J.P. Morgan Securities (Asia Pacific) Limited</w:t>
            </w:r>
          </w:p>
          <w:p w14:paraId="6D2690B8" w14:textId="77777777" w:rsidR="00833787" w:rsidRPr="00CB0316" w:rsidRDefault="00833787" w:rsidP="00B86868">
            <w:pPr>
              <w:pStyle w:val="StandardOCAshurst"/>
              <w:jc w:val="center"/>
            </w:pPr>
            <w:r w:rsidRPr="00CB0316">
              <w:t xml:space="preserve">25/F </w:t>
            </w:r>
            <w:proofErr w:type="spellStart"/>
            <w:r w:rsidRPr="00CB0316">
              <w:t>Chater</w:t>
            </w:r>
            <w:proofErr w:type="spellEnd"/>
            <w:r w:rsidRPr="00CB0316">
              <w:t xml:space="preserve"> House</w:t>
            </w:r>
          </w:p>
          <w:p w14:paraId="7B8ACD17" w14:textId="77777777" w:rsidR="00833787" w:rsidRPr="00CB0316" w:rsidRDefault="00833787" w:rsidP="00B86868">
            <w:pPr>
              <w:pStyle w:val="StandardOCAshurst"/>
              <w:jc w:val="center"/>
            </w:pPr>
            <w:r w:rsidRPr="00CB0316">
              <w:t>8 Connaught Road Central</w:t>
            </w:r>
          </w:p>
          <w:p w14:paraId="16EAF201" w14:textId="77777777" w:rsidR="00833787" w:rsidRPr="00CB0316" w:rsidRDefault="00833787" w:rsidP="00B86868">
            <w:pPr>
              <w:pStyle w:val="StandardOCAshurst"/>
              <w:jc w:val="center"/>
            </w:pPr>
            <w:r w:rsidRPr="00CB0316">
              <w:t>Hong Kong</w:t>
            </w:r>
          </w:p>
          <w:p w14:paraId="4E52D393" w14:textId="77777777" w:rsidR="00833787" w:rsidRPr="00CB0316" w:rsidRDefault="00833787" w:rsidP="00B86868">
            <w:pPr>
              <w:pStyle w:val="StandardOCAshurst"/>
              <w:jc w:val="center"/>
            </w:pPr>
          </w:p>
          <w:p w14:paraId="5A8B859E" w14:textId="77777777" w:rsidR="00833787" w:rsidRPr="00CB0316" w:rsidRDefault="00833787" w:rsidP="00B86868">
            <w:pPr>
              <w:pStyle w:val="StandardOCAshurst"/>
              <w:jc w:val="center"/>
              <w:rPr>
                <w:b/>
              </w:rPr>
            </w:pPr>
            <w:r w:rsidRPr="00CB0316">
              <w:rPr>
                <w:b/>
              </w:rPr>
              <w:t>JPMorgan Securities Japan Co., Ltd.</w:t>
            </w:r>
          </w:p>
          <w:p w14:paraId="3591E8B9" w14:textId="77777777" w:rsidR="00833787" w:rsidRPr="00CB0316" w:rsidRDefault="00833787" w:rsidP="00B86868">
            <w:pPr>
              <w:pStyle w:val="StandardOCAshurst"/>
              <w:jc w:val="center"/>
            </w:pPr>
            <w:r w:rsidRPr="00CB0316">
              <w:t xml:space="preserve">Tokyo Building </w:t>
            </w:r>
          </w:p>
          <w:p w14:paraId="3999D162" w14:textId="77777777" w:rsidR="00833787" w:rsidRPr="00CB0316" w:rsidRDefault="00833787" w:rsidP="00B86868">
            <w:pPr>
              <w:pStyle w:val="StandardOCAshurst"/>
              <w:jc w:val="center"/>
            </w:pPr>
            <w:r w:rsidRPr="00CB0316">
              <w:t>7-3 Marunouchi 2-</w:t>
            </w:r>
            <w:proofErr w:type="spellStart"/>
            <w:r w:rsidRPr="00CB0316">
              <w:t>Chome</w:t>
            </w:r>
            <w:proofErr w:type="spellEnd"/>
          </w:p>
          <w:p w14:paraId="5D025DB6" w14:textId="77777777" w:rsidR="00833787" w:rsidRPr="00CB0316" w:rsidRDefault="00833787" w:rsidP="00B86868">
            <w:pPr>
              <w:pStyle w:val="StandardOCAshurst"/>
              <w:jc w:val="center"/>
            </w:pPr>
            <w:r w:rsidRPr="00CB0316">
              <w:t>Chiyoda-</w:t>
            </w:r>
            <w:proofErr w:type="spellStart"/>
            <w:r w:rsidRPr="00CB0316">
              <w:t>ku</w:t>
            </w:r>
            <w:proofErr w:type="spellEnd"/>
            <w:r w:rsidRPr="00CB0316">
              <w:t>,</w:t>
            </w:r>
          </w:p>
          <w:p w14:paraId="3ED20967" w14:textId="77777777" w:rsidR="00833787" w:rsidRPr="00CB0316" w:rsidRDefault="00833787" w:rsidP="00B86868">
            <w:pPr>
              <w:pStyle w:val="StandardOCAshurst"/>
              <w:jc w:val="center"/>
            </w:pPr>
            <w:r w:rsidRPr="00CB0316">
              <w:t>Tokyo 100-6432</w:t>
            </w:r>
          </w:p>
          <w:p w14:paraId="1ABF78AE" w14:textId="77777777" w:rsidR="00833787" w:rsidRPr="00CB0316" w:rsidRDefault="00833787" w:rsidP="00B86868">
            <w:pPr>
              <w:pStyle w:val="StandardOCAshurst"/>
              <w:jc w:val="center"/>
              <w:rPr>
                <w:b/>
              </w:rPr>
            </w:pPr>
            <w:r w:rsidRPr="00CB0316">
              <w:t>Japan</w:t>
            </w:r>
          </w:p>
        </w:tc>
      </w:tr>
      <w:tr w:rsidR="00125818" w:rsidRPr="00CB0316" w14:paraId="4CFBDB0D" w14:textId="77777777" w:rsidTr="00B86868">
        <w:tc>
          <w:tcPr>
            <w:tcW w:w="2840" w:type="dxa"/>
          </w:tcPr>
          <w:p w14:paraId="2048D82F" w14:textId="77777777" w:rsidR="00833787" w:rsidRPr="00CB0316" w:rsidRDefault="00833787" w:rsidP="00B86868">
            <w:pPr>
              <w:pStyle w:val="StandardOCAshurst"/>
              <w:jc w:val="center"/>
              <w:rPr>
                <w:b/>
              </w:rPr>
            </w:pPr>
          </w:p>
        </w:tc>
        <w:tc>
          <w:tcPr>
            <w:tcW w:w="2841" w:type="dxa"/>
          </w:tcPr>
          <w:p w14:paraId="259A587F" w14:textId="77777777" w:rsidR="00833787" w:rsidRPr="00CB0316" w:rsidRDefault="00833787" w:rsidP="00B86868">
            <w:pPr>
              <w:pStyle w:val="StandardOCAshurst"/>
              <w:jc w:val="center"/>
              <w:rPr>
                <w:b/>
              </w:rPr>
            </w:pPr>
          </w:p>
        </w:tc>
        <w:tc>
          <w:tcPr>
            <w:tcW w:w="2841" w:type="dxa"/>
          </w:tcPr>
          <w:p w14:paraId="2D41B650" w14:textId="77777777" w:rsidR="00833787" w:rsidRPr="00CB0316" w:rsidRDefault="00833787" w:rsidP="00B86868">
            <w:pPr>
              <w:pStyle w:val="StandardOCAshurst"/>
              <w:jc w:val="center"/>
              <w:rPr>
                <w:b/>
              </w:rPr>
            </w:pPr>
          </w:p>
        </w:tc>
      </w:tr>
      <w:tr w:rsidR="00125818" w:rsidRPr="00CB0316" w14:paraId="587B6D42" w14:textId="77777777" w:rsidTr="00B86868">
        <w:tc>
          <w:tcPr>
            <w:tcW w:w="2840" w:type="dxa"/>
          </w:tcPr>
          <w:p w14:paraId="750F6034" w14:textId="77777777" w:rsidR="00833787" w:rsidRPr="00CB0316" w:rsidRDefault="00833787" w:rsidP="00B86868">
            <w:pPr>
              <w:pStyle w:val="StandardOCAshurst"/>
              <w:jc w:val="center"/>
              <w:rPr>
                <w:b/>
              </w:rPr>
            </w:pPr>
            <w:r w:rsidRPr="00CB0316">
              <w:rPr>
                <w:b/>
              </w:rPr>
              <w:t>Principal Programme Agent, Paying Agent and</w:t>
            </w:r>
          </w:p>
          <w:p w14:paraId="69EAACF7" w14:textId="77777777" w:rsidR="00833787" w:rsidRPr="00CB0316" w:rsidRDefault="00833787" w:rsidP="00B86868">
            <w:pPr>
              <w:pStyle w:val="StandardOCAshurst"/>
              <w:jc w:val="center"/>
            </w:pPr>
            <w:r w:rsidRPr="00CB0316">
              <w:rPr>
                <w:b/>
              </w:rPr>
              <w:t>Transfer Agent</w:t>
            </w:r>
          </w:p>
          <w:p w14:paraId="6AFA6628" w14:textId="77777777" w:rsidR="00833787" w:rsidRPr="00CB0316" w:rsidRDefault="00833787" w:rsidP="00B86868">
            <w:pPr>
              <w:pStyle w:val="StandardOCAshurst"/>
              <w:jc w:val="center"/>
              <w:rPr>
                <w:b/>
              </w:rPr>
            </w:pPr>
          </w:p>
        </w:tc>
        <w:tc>
          <w:tcPr>
            <w:tcW w:w="2841" w:type="dxa"/>
          </w:tcPr>
          <w:p w14:paraId="232DF1FC" w14:textId="77777777" w:rsidR="00833787" w:rsidRPr="00CB0316" w:rsidRDefault="00833787" w:rsidP="00B86868">
            <w:pPr>
              <w:pStyle w:val="StandardOCAshurst"/>
              <w:jc w:val="center"/>
              <w:rPr>
                <w:b/>
              </w:rPr>
            </w:pPr>
          </w:p>
        </w:tc>
        <w:tc>
          <w:tcPr>
            <w:tcW w:w="2841" w:type="dxa"/>
          </w:tcPr>
          <w:p w14:paraId="34A9284A" w14:textId="77777777" w:rsidR="00833787" w:rsidRPr="00CB0316" w:rsidRDefault="00833787" w:rsidP="00B86868">
            <w:pPr>
              <w:pStyle w:val="StandardOCAshurst"/>
              <w:jc w:val="center"/>
              <w:rPr>
                <w:b/>
              </w:rPr>
            </w:pPr>
            <w:r w:rsidRPr="00CB0316">
              <w:rPr>
                <w:b/>
              </w:rPr>
              <w:t>Paying Agent, Registrar and Transfer Agent</w:t>
            </w:r>
          </w:p>
        </w:tc>
      </w:tr>
      <w:tr w:rsidR="00833787" w:rsidRPr="00CB0316" w14:paraId="4586E517" w14:textId="77777777" w:rsidTr="00B86868">
        <w:tc>
          <w:tcPr>
            <w:tcW w:w="2840" w:type="dxa"/>
          </w:tcPr>
          <w:p w14:paraId="121B56AB" w14:textId="77777777" w:rsidR="00833787" w:rsidRPr="00CB0316" w:rsidRDefault="00833787" w:rsidP="00B86868">
            <w:pPr>
              <w:pStyle w:val="StandardOCAshurst"/>
              <w:jc w:val="center"/>
              <w:rPr>
                <w:b/>
              </w:rPr>
            </w:pPr>
            <w:r w:rsidRPr="00CB0316">
              <w:rPr>
                <w:b/>
              </w:rPr>
              <w:t>The Bank of New York Mellon, London Branch</w:t>
            </w:r>
          </w:p>
          <w:p w14:paraId="3DD8A1DB" w14:textId="77777777" w:rsidR="00833787" w:rsidRPr="00CB0316" w:rsidRDefault="00833787" w:rsidP="00B86868">
            <w:pPr>
              <w:pStyle w:val="StandardOCAshurst"/>
              <w:jc w:val="center"/>
            </w:pPr>
            <w:r w:rsidRPr="00CB0316">
              <w:t>160 Queen Victoria Street</w:t>
            </w:r>
          </w:p>
          <w:p w14:paraId="3AC63031" w14:textId="77777777" w:rsidR="00833787" w:rsidRPr="00CB0316" w:rsidRDefault="00833787" w:rsidP="00B86868">
            <w:pPr>
              <w:pStyle w:val="StandardOCAshurst"/>
              <w:jc w:val="center"/>
            </w:pPr>
            <w:r w:rsidRPr="00CB0316">
              <w:t xml:space="preserve">London, </w:t>
            </w:r>
            <w:proofErr w:type="spellStart"/>
            <w:r w:rsidRPr="00CB0316">
              <w:t>EC4V</w:t>
            </w:r>
            <w:proofErr w:type="spellEnd"/>
            <w:r w:rsidRPr="00CB0316">
              <w:t xml:space="preserve"> </w:t>
            </w:r>
            <w:proofErr w:type="spellStart"/>
            <w:r w:rsidRPr="00CB0316">
              <w:t>4LA</w:t>
            </w:r>
            <w:proofErr w:type="spellEnd"/>
          </w:p>
          <w:p w14:paraId="60339546" w14:textId="77777777" w:rsidR="00833787" w:rsidRPr="00CB0316" w:rsidRDefault="00833787" w:rsidP="00B86868">
            <w:pPr>
              <w:pStyle w:val="StandardOCAshurst"/>
              <w:jc w:val="center"/>
            </w:pPr>
            <w:r w:rsidRPr="00CB0316">
              <w:t>United Kingdom</w:t>
            </w:r>
          </w:p>
          <w:p w14:paraId="35F29797" w14:textId="77777777" w:rsidR="00833787" w:rsidRPr="00CB0316" w:rsidRDefault="00833787" w:rsidP="00B86868">
            <w:pPr>
              <w:pStyle w:val="StandardOCAshurst"/>
              <w:jc w:val="center"/>
              <w:rPr>
                <w:b/>
              </w:rPr>
            </w:pPr>
          </w:p>
        </w:tc>
        <w:tc>
          <w:tcPr>
            <w:tcW w:w="2841" w:type="dxa"/>
          </w:tcPr>
          <w:p w14:paraId="36AE4AAE" w14:textId="77777777" w:rsidR="00833787" w:rsidRPr="00CB0316" w:rsidRDefault="00833787" w:rsidP="00B86868">
            <w:pPr>
              <w:pStyle w:val="StandardOCAshurst"/>
              <w:jc w:val="center"/>
              <w:rPr>
                <w:b/>
              </w:rPr>
            </w:pPr>
          </w:p>
        </w:tc>
        <w:tc>
          <w:tcPr>
            <w:tcW w:w="2841" w:type="dxa"/>
          </w:tcPr>
          <w:p w14:paraId="5773D258" w14:textId="77777777" w:rsidR="00833787" w:rsidRPr="00CB0316" w:rsidRDefault="00833787" w:rsidP="00B86868">
            <w:pPr>
              <w:pStyle w:val="StandardOCAshurst"/>
              <w:jc w:val="center"/>
              <w:rPr>
                <w:b/>
              </w:rPr>
            </w:pPr>
            <w:r w:rsidRPr="00CB0316">
              <w:rPr>
                <w:b/>
              </w:rPr>
              <w:t>The Bank of New York Mellon S.A./N.V., Luxembourg Branch</w:t>
            </w:r>
          </w:p>
          <w:p w14:paraId="115971B5" w14:textId="77777777" w:rsidR="00833787" w:rsidRPr="00CB0316" w:rsidRDefault="00833787" w:rsidP="00B86868">
            <w:pPr>
              <w:pStyle w:val="StandardOCAshurst"/>
              <w:jc w:val="center"/>
            </w:pPr>
            <w:r w:rsidRPr="00CB0316">
              <w:t>Vertigo Building</w:t>
            </w:r>
          </w:p>
          <w:p w14:paraId="2F6BEA45" w14:textId="77777777" w:rsidR="00833787" w:rsidRPr="00CB0316" w:rsidRDefault="00833787" w:rsidP="00B86868">
            <w:pPr>
              <w:pStyle w:val="StandardOCAshurst"/>
              <w:jc w:val="center"/>
            </w:pPr>
            <w:r w:rsidRPr="00CB0316">
              <w:t>Polaris</w:t>
            </w:r>
          </w:p>
          <w:p w14:paraId="5A0737C6" w14:textId="77777777" w:rsidR="00833787" w:rsidRPr="00CB0316" w:rsidRDefault="00833787" w:rsidP="00B86868">
            <w:pPr>
              <w:pStyle w:val="StandardOCAshurst"/>
              <w:jc w:val="center"/>
            </w:pPr>
            <w:r w:rsidRPr="00CB0316">
              <w:t>2-4 rue Eugène Ruppert</w:t>
            </w:r>
          </w:p>
          <w:p w14:paraId="61F3978C" w14:textId="77777777" w:rsidR="00833787" w:rsidRPr="00CB0316" w:rsidRDefault="00833787" w:rsidP="00B86868">
            <w:pPr>
              <w:pStyle w:val="StandardOCAshurst"/>
              <w:jc w:val="center"/>
            </w:pPr>
            <w:r w:rsidRPr="00CB0316">
              <w:t>L-2453</w:t>
            </w:r>
          </w:p>
          <w:p w14:paraId="5909AFEC" w14:textId="77777777" w:rsidR="00833787" w:rsidRPr="00CB0316" w:rsidRDefault="00833787" w:rsidP="00B86868">
            <w:pPr>
              <w:pStyle w:val="StandardOCAshurst"/>
              <w:jc w:val="center"/>
            </w:pPr>
            <w:r w:rsidRPr="00CB0316">
              <w:t>Luxembourg</w:t>
            </w:r>
          </w:p>
          <w:p w14:paraId="63AED74F" w14:textId="77777777" w:rsidR="00833787" w:rsidRPr="00CB0316" w:rsidRDefault="00833787" w:rsidP="00B86868">
            <w:pPr>
              <w:pStyle w:val="StandardOCAshurst"/>
              <w:jc w:val="center"/>
              <w:rPr>
                <w:b/>
              </w:rPr>
            </w:pPr>
          </w:p>
        </w:tc>
      </w:tr>
    </w:tbl>
    <w:p w14:paraId="630F72B4" w14:textId="77777777" w:rsidR="00833787" w:rsidRPr="00CB0316" w:rsidRDefault="00833787" w:rsidP="00833787">
      <w:pPr>
        <w:pStyle w:val="StandardOCAshurst"/>
      </w:pPr>
    </w:p>
    <w:p w14:paraId="62B04AF1" w14:textId="77777777" w:rsidR="00833787" w:rsidRPr="00CB0316" w:rsidRDefault="00833787" w:rsidP="00833787">
      <w:pPr>
        <w:pStyle w:val="StandardOCAshurst"/>
      </w:pPr>
    </w:p>
    <w:p w14:paraId="2037DA71" w14:textId="77777777" w:rsidR="00833787" w:rsidRPr="00CB0316" w:rsidRDefault="00833787" w:rsidP="00833787">
      <w:pPr>
        <w:pStyle w:val="NormalOCAshurst"/>
      </w:pPr>
    </w:p>
    <w:p w14:paraId="19C3E131" w14:textId="77777777" w:rsidR="00833787" w:rsidRPr="00CB0316" w:rsidRDefault="00833787" w:rsidP="00833787">
      <w:pPr>
        <w:pStyle w:val="NormalOCAshurst"/>
      </w:pPr>
    </w:p>
    <w:p w14:paraId="0AA2DADD" w14:textId="77777777" w:rsidR="00833787" w:rsidRPr="00CB0316" w:rsidRDefault="00833787" w:rsidP="00833787">
      <w:pPr>
        <w:pStyle w:val="NormalOCAshurst"/>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65"/>
        <w:gridCol w:w="2775"/>
        <w:gridCol w:w="2766"/>
      </w:tblGrid>
      <w:tr w:rsidR="00125818" w:rsidRPr="00CB0316" w14:paraId="50454F46" w14:textId="77777777" w:rsidTr="00B86868">
        <w:tc>
          <w:tcPr>
            <w:tcW w:w="8306" w:type="dxa"/>
            <w:gridSpan w:val="3"/>
          </w:tcPr>
          <w:p w14:paraId="24B2FD65" w14:textId="77777777" w:rsidR="00833787" w:rsidRPr="00CB0316" w:rsidRDefault="00833787" w:rsidP="00B86868">
            <w:pPr>
              <w:pStyle w:val="StandardOCAshurst"/>
              <w:jc w:val="center"/>
              <w:rPr>
                <w:b/>
              </w:rPr>
            </w:pPr>
            <w:r w:rsidRPr="00CB0316">
              <w:rPr>
                <w:b/>
              </w:rPr>
              <w:lastRenderedPageBreak/>
              <w:t>Calculation Agents and Delivery Agents</w:t>
            </w:r>
          </w:p>
          <w:p w14:paraId="01AFCC82" w14:textId="77777777" w:rsidR="00833787" w:rsidRPr="00CB0316" w:rsidRDefault="00833787" w:rsidP="00B86868">
            <w:pPr>
              <w:pStyle w:val="StandardOCAshurst"/>
            </w:pPr>
          </w:p>
        </w:tc>
      </w:tr>
      <w:tr w:rsidR="00125818" w:rsidRPr="00CB0316" w14:paraId="3BFC0334" w14:textId="77777777" w:rsidTr="00B86868">
        <w:tc>
          <w:tcPr>
            <w:tcW w:w="2765" w:type="dxa"/>
          </w:tcPr>
          <w:p w14:paraId="0DFF052E" w14:textId="77777777" w:rsidR="00833787" w:rsidRPr="00CB0316" w:rsidRDefault="00833787" w:rsidP="00B86868">
            <w:pPr>
              <w:pStyle w:val="StandardOCAshurst"/>
              <w:jc w:val="center"/>
              <w:rPr>
                <w:b/>
              </w:rPr>
            </w:pPr>
            <w:r w:rsidRPr="00CB0316">
              <w:rPr>
                <w:b/>
              </w:rPr>
              <w:t>J.P. Morgan Securities plc</w:t>
            </w:r>
          </w:p>
          <w:p w14:paraId="0B766A8A" w14:textId="77777777" w:rsidR="00833787" w:rsidRPr="00CB0316" w:rsidRDefault="00833787" w:rsidP="00B86868">
            <w:pPr>
              <w:pStyle w:val="StandardOCAshurst"/>
              <w:jc w:val="center"/>
            </w:pPr>
            <w:r w:rsidRPr="00CB0316">
              <w:t>25 Bank Street</w:t>
            </w:r>
          </w:p>
          <w:p w14:paraId="58E1E5C8" w14:textId="77777777" w:rsidR="00833787" w:rsidRPr="00CB0316" w:rsidRDefault="00833787" w:rsidP="00B86868">
            <w:pPr>
              <w:pStyle w:val="StandardOCAshurst"/>
              <w:jc w:val="center"/>
            </w:pPr>
            <w:r w:rsidRPr="00CB0316">
              <w:t>Canary Wharf</w:t>
            </w:r>
          </w:p>
          <w:p w14:paraId="6D390597" w14:textId="77777777" w:rsidR="00833787" w:rsidRPr="00CB0316" w:rsidRDefault="00833787" w:rsidP="00B86868">
            <w:pPr>
              <w:pStyle w:val="StandardOCAshurst"/>
              <w:jc w:val="center"/>
            </w:pPr>
            <w:r w:rsidRPr="00CB0316">
              <w:t xml:space="preserve">London, </w:t>
            </w:r>
            <w:proofErr w:type="spellStart"/>
            <w:r w:rsidRPr="00CB0316">
              <w:t>E14</w:t>
            </w:r>
            <w:proofErr w:type="spellEnd"/>
            <w:r w:rsidRPr="00CB0316">
              <w:t xml:space="preserve"> </w:t>
            </w:r>
            <w:proofErr w:type="spellStart"/>
            <w:r w:rsidRPr="00CB0316">
              <w:t>5JP</w:t>
            </w:r>
            <w:proofErr w:type="spellEnd"/>
          </w:p>
          <w:p w14:paraId="3F986D30" w14:textId="77777777" w:rsidR="00833787" w:rsidRPr="00CB0316" w:rsidRDefault="00833787" w:rsidP="00B86868">
            <w:pPr>
              <w:pStyle w:val="StandardOCAshurst"/>
              <w:jc w:val="center"/>
            </w:pPr>
            <w:r w:rsidRPr="00CB0316">
              <w:t>United Kingdom</w:t>
            </w:r>
          </w:p>
          <w:p w14:paraId="55A1A3AD" w14:textId="77777777" w:rsidR="00833787" w:rsidRPr="00CB0316" w:rsidRDefault="00833787" w:rsidP="00B86868">
            <w:pPr>
              <w:pStyle w:val="StandardOCAshurst"/>
            </w:pPr>
          </w:p>
        </w:tc>
        <w:tc>
          <w:tcPr>
            <w:tcW w:w="2775" w:type="dxa"/>
          </w:tcPr>
          <w:p w14:paraId="35110A80" w14:textId="77777777" w:rsidR="00833787" w:rsidRPr="00CB0316" w:rsidRDefault="00833787" w:rsidP="00B86868">
            <w:pPr>
              <w:pStyle w:val="StandardOCAshurst"/>
              <w:jc w:val="center"/>
              <w:rPr>
                <w:b/>
                <w:bCs/>
                <w:lang w:val="de-DE"/>
              </w:rPr>
            </w:pPr>
            <w:proofErr w:type="spellStart"/>
            <w:r w:rsidRPr="00CB0316">
              <w:rPr>
                <w:b/>
                <w:bCs/>
                <w:lang w:val="de-DE"/>
              </w:rPr>
              <w:t>J.P</w:t>
            </w:r>
            <w:proofErr w:type="spellEnd"/>
            <w:r w:rsidRPr="00CB0316">
              <w:rPr>
                <w:b/>
                <w:bCs/>
                <w:lang w:val="de-DE"/>
              </w:rPr>
              <w:t>. Morgan SE</w:t>
            </w:r>
          </w:p>
          <w:p w14:paraId="69CCA47E" w14:textId="77777777" w:rsidR="00833787" w:rsidRPr="00CB0316" w:rsidRDefault="00833787" w:rsidP="00B86868">
            <w:pPr>
              <w:pStyle w:val="StandardOCAshurst"/>
              <w:jc w:val="center"/>
              <w:rPr>
                <w:lang w:val="de-DE"/>
              </w:rPr>
            </w:pPr>
            <w:proofErr w:type="spellStart"/>
            <w:r w:rsidRPr="00CB0316">
              <w:rPr>
                <w:lang w:val="de-DE"/>
              </w:rPr>
              <w:t>TaunusTurm</w:t>
            </w:r>
            <w:proofErr w:type="spellEnd"/>
          </w:p>
          <w:p w14:paraId="6ACF675D" w14:textId="77777777" w:rsidR="00833787" w:rsidRPr="00CB0316" w:rsidRDefault="00833787" w:rsidP="00B86868">
            <w:pPr>
              <w:pStyle w:val="StandardOCAshurst"/>
              <w:jc w:val="center"/>
              <w:rPr>
                <w:lang w:val="de-DE"/>
              </w:rPr>
            </w:pPr>
            <w:r w:rsidRPr="00CB0316">
              <w:rPr>
                <w:lang w:val="de-DE"/>
              </w:rPr>
              <w:t>Taunustor 1</w:t>
            </w:r>
          </w:p>
          <w:p w14:paraId="31BD42B6" w14:textId="77777777" w:rsidR="00833787" w:rsidRPr="00CB0316" w:rsidRDefault="00833787" w:rsidP="00B86868">
            <w:pPr>
              <w:pStyle w:val="StandardOCAshurst"/>
              <w:jc w:val="center"/>
              <w:rPr>
                <w:lang w:val="de-DE"/>
              </w:rPr>
            </w:pPr>
            <w:r w:rsidRPr="00CB0316">
              <w:rPr>
                <w:lang w:val="de-DE"/>
              </w:rPr>
              <w:t>60310 Frankfurt am Main</w:t>
            </w:r>
          </w:p>
          <w:p w14:paraId="44B5178F" w14:textId="77777777" w:rsidR="00833787" w:rsidRPr="00CB0316" w:rsidRDefault="00833787" w:rsidP="00B86868">
            <w:pPr>
              <w:pStyle w:val="StandardOCAshurst"/>
              <w:jc w:val="center"/>
            </w:pPr>
            <w:r w:rsidRPr="00CB0316">
              <w:t>Germany</w:t>
            </w:r>
          </w:p>
        </w:tc>
        <w:tc>
          <w:tcPr>
            <w:tcW w:w="2766" w:type="dxa"/>
          </w:tcPr>
          <w:p w14:paraId="7255A1D0" w14:textId="77777777" w:rsidR="00833787" w:rsidRPr="00CB0316" w:rsidRDefault="00833787" w:rsidP="00B86868">
            <w:pPr>
              <w:pStyle w:val="StandardOCAshurst"/>
              <w:jc w:val="center"/>
              <w:rPr>
                <w:b/>
              </w:rPr>
            </w:pPr>
            <w:r w:rsidRPr="00CB0316">
              <w:rPr>
                <w:b/>
              </w:rPr>
              <w:t>J.P. Morgan Securities LLC</w:t>
            </w:r>
          </w:p>
          <w:p w14:paraId="5A2D92BC" w14:textId="77777777" w:rsidR="00833787" w:rsidRPr="00CB0316" w:rsidRDefault="00833787" w:rsidP="00B86868">
            <w:pPr>
              <w:pStyle w:val="StandardOCAshurst"/>
              <w:jc w:val="center"/>
            </w:pPr>
            <w:r w:rsidRPr="00CB0316">
              <w:t>383 Madison Avenue</w:t>
            </w:r>
          </w:p>
          <w:p w14:paraId="21631EF9" w14:textId="77777777" w:rsidR="00833787" w:rsidRPr="00CB0316" w:rsidRDefault="00833787" w:rsidP="00B86868">
            <w:pPr>
              <w:pStyle w:val="StandardOCAshurst"/>
              <w:jc w:val="center"/>
            </w:pPr>
            <w:r w:rsidRPr="00CB0316">
              <w:t>5th Floor</w:t>
            </w:r>
          </w:p>
          <w:p w14:paraId="72A806C7" w14:textId="77777777" w:rsidR="00833787" w:rsidRPr="00CB0316" w:rsidRDefault="00833787" w:rsidP="00B86868">
            <w:pPr>
              <w:pStyle w:val="StandardOCAshurst"/>
              <w:jc w:val="center"/>
            </w:pPr>
            <w:r w:rsidRPr="00CB0316">
              <w:t>New York, New York 10179</w:t>
            </w:r>
          </w:p>
          <w:p w14:paraId="3318F5B5" w14:textId="77777777" w:rsidR="00833787" w:rsidRPr="00CB0316" w:rsidRDefault="00833787" w:rsidP="00B86868">
            <w:pPr>
              <w:pStyle w:val="StandardOCAshurst"/>
              <w:jc w:val="center"/>
            </w:pPr>
            <w:r w:rsidRPr="00CB0316">
              <w:t>United States of America</w:t>
            </w:r>
          </w:p>
          <w:p w14:paraId="5F96EC81" w14:textId="77777777" w:rsidR="00833787" w:rsidRPr="00CB0316" w:rsidRDefault="00833787" w:rsidP="00B86868">
            <w:pPr>
              <w:pStyle w:val="StandardOCAshurst"/>
            </w:pPr>
          </w:p>
        </w:tc>
      </w:tr>
      <w:tr w:rsidR="00125818" w:rsidRPr="00CB0316" w14:paraId="0E50648D" w14:textId="77777777" w:rsidTr="00B86868">
        <w:tc>
          <w:tcPr>
            <w:tcW w:w="2765" w:type="dxa"/>
          </w:tcPr>
          <w:p w14:paraId="4E13C2C6" w14:textId="77777777" w:rsidR="00833787" w:rsidRPr="00CB0316" w:rsidRDefault="00833787" w:rsidP="00B86868">
            <w:pPr>
              <w:pStyle w:val="StandardOCAshurst"/>
              <w:jc w:val="center"/>
              <w:rPr>
                <w:b/>
              </w:rPr>
            </w:pPr>
            <w:r w:rsidRPr="00CB0316">
              <w:rPr>
                <w:b/>
              </w:rPr>
              <w:t>Luxembourg Listing Agent</w:t>
            </w:r>
          </w:p>
          <w:p w14:paraId="6723FA72" w14:textId="77777777" w:rsidR="00833787" w:rsidRPr="00CB0316" w:rsidRDefault="00833787" w:rsidP="00B86868">
            <w:pPr>
              <w:pStyle w:val="StandardOCAshurst"/>
              <w:jc w:val="center"/>
            </w:pPr>
          </w:p>
          <w:p w14:paraId="6A4BE36B" w14:textId="77777777" w:rsidR="00833787" w:rsidRPr="00CB0316" w:rsidRDefault="00833787" w:rsidP="00B86868">
            <w:pPr>
              <w:pStyle w:val="StandardOCAshurst"/>
              <w:jc w:val="center"/>
            </w:pPr>
            <w:r w:rsidRPr="00CB0316">
              <w:t>The Bank of New York Mellon S.A./N.V. Luxembourg Branch,</w:t>
            </w:r>
          </w:p>
          <w:p w14:paraId="7C60714F" w14:textId="77777777" w:rsidR="00833787" w:rsidRPr="00CB0316" w:rsidRDefault="00833787" w:rsidP="00B86868">
            <w:pPr>
              <w:pStyle w:val="StandardOCAshurst"/>
              <w:jc w:val="center"/>
            </w:pPr>
            <w:r w:rsidRPr="00CB0316">
              <w:t>Vertigo Building</w:t>
            </w:r>
          </w:p>
          <w:p w14:paraId="1AE7E40E" w14:textId="77777777" w:rsidR="00833787" w:rsidRPr="00CB0316" w:rsidRDefault="00833787" w:rsidP="00B86868">
            <w:pPr>
              <w:pStyle w:val="StandardOCAshurst"/>
              <w:jc w:val="center"/>
            </w:pPr>
            <w:r w:rsidRPr="00CB0316">
              <w:t>Polaris</w:t>
            </w:r>
          </w:p>
          <w:p w14:paraId="4D24A668" w14:textId="77777777" w:rsidR="00833787" w:rsidRPr="00CB0316" w:rsidRDefault="00833787" w:rsidP="00B86868">
            <w:pPr>
              <w:pStyle w:val="StandardOCAshurst"/>
              <w:jc w:val="center"/>
            </w:pPr>
            <w:r w:rsidRPr="00CB0316">
              <w:t>2-4 rue Eugène Ruppert</w:t>
            </w:r>
          </w:p>
          <w:p w14:paraId="1210BBE6" w14:textId="77777777" w:rsidR="00833787" w:rsidRPr="00CB0316" w:rsidRDefault="00833787" w:rsidP="00B86868">
            <w:pPr>
              <w:pStyle w:val="StandardOCAshurst"/>
              <w:jc w:val="center"/>
            </w:pPr>
            <w:r w:rsidRPr="00CB0316">
              <w:t>L-2453</w:t>
            </w:r>
          </w:p>
          <w:p w14:paraId="27053169" w14:textId="77777777" w:rsidR="00833787" w:rsidRPr="00CB0316" w:rsidRDefault="00833787" w:rsidP="00B86868">
            <w:pPr>
              <w:pStyle w:val="StandardOCAshurst"/>
              <w:jc w:val="center"/>
            </w:pPr>
            <w:r w:rsidRPr="00CB0316">
              <w:t>Luxembourg</w:t>
            </w:r>
          </w:p>
          <w:p w14:paraId="0D454E3B" w14:textId="77777777" w:rsidR="00833787" w:rsidRPr="00CB0316" w:rsidRDefault="00833787" w:rsidP="00B86868">
            <w:pPr>
              <w:pStyle w:val="StandardOCAshurst"/>
              <w:jc w:val="center"/>
              <w:rPr>
                <w:b/>
              </w:rPr>
            </w:pPr>
          </w:p>
        </w:tc>
        <w:tc>
          <w:tcPr>
            <w:tcW w:w="2775" w:type="dxa"/>
          </w:tcPr>
          <w:p w14:paraId="36D6F30B" w14:textId="77777777" w:rsidR="00833787" w:rsidRPr="00CB0316" w:rsidRDefault="00833787" w:rsidP="00B86868">
            <w:pPr>
              <w:pStyle w:val="StandardOCAshurst"/>
              <w:jc w:val="center"/>
            </w:pPr>
          </w:p>
        </w:tc>
        <w:tc>
          <w:tcPr>
            <w:tcW w:w="2766" w:type="dxa"/>
          </w:tcPr>
          <w:p w14:paraId="6F36BD04" w14:textId="77777777" w:rsidR="00833787" w:rsidRPr="00CB0316" w:rsidRDefault="00833787" w:rsidP="00B86868">
            <w:pPr>
              <w:pStyle w:val="StandardOCAshurst"/>
              <w:jc w:val="center"/>
              <w:rPr>
                <w:b/>
              </w:rPr>
            </w:pPr>
            <w:r w:rsidRPr="00CB0316">
              <w:rPr>
                <w:b/>
              </w:rPr>
              <w:t>Irish Listing Agent</w:t>
            </w:r>
          </w:p>
          <w:p w14:paraId="21FE425C" w14:textId="77777777" w:rsidR="00833787" w:rsidRPr="00CB0316" w:rsidRDefault="00833787" w:rsidP="00B86868">
            <w:pPr>
              <w:pStyle w:val="StandardOCAshurst"/>
              <w:jc w:val="center"/>
            </w:pPr>
          </w:p>
          <w:p w14:paraId="3244794C" w14:textId="77777777" w:rsidR="00833787" w:rsidRPr="00CB0316" w:rsidRDefault="00833787" w:rsidP="00B86868">
            <w:pPr>
              <w:pStyle w:val="StandardOCAshurst"/>
              <w:jc w:val="center"/>
            </w:pPr>
            <w:r w:rsidRPr="00CB0316">
              <w:t>Bank of New York Mellon S.A./N.V.</w:t>
            </w:r>
          </w:p>
          <w:p w14:paraId="07EE2318" w14:textId="77777777" w:rsidR="00833787" w:rsidRPr="00CB0316" w:rsidRDefault="00833787" w:rsidP="00B86868">
            <w:pPr>
              <w:pStyle w:val="StandardOCAshurst"/>
              <w:jc w:val="center"/>
            </w:pPr>
            <w:r w:rsidRPr="00CB0316">
              <w:t>Dublin Branch</w:t>
            </w:r>
          </w:p>
          <w:p w14:paraId="55C4F1F6" w14:textId="77777777" w:rsidR="00833787" w:rsidRPr="00CB0316" w:rsidRDefault="00833787" w:rsidP="00B86868">
            <w:pPr>
              <w:pStyle w:val="StandardOCAshurst"/>
              <w:jc w:val="center"/>
            </w:pPr>
            <w:r w:rsidRPr="00CB0316">
              <w:t>Riverside 2,</w:t>
            </w:r>
          </w:p>
          <w:p w14:paraId="7F834494" w14:textId="77777777" w:rsidR="00833787" w:rsidRPr="00CB0316" w:rsidRDefault="00833787" w:rsidP="00B86868">
            <w:pPr>
              <w:pStyle w:val="StandardOCAshurst"/>
              <w:jc w:val="center"/>
            </w:pPr>
            <w:r w:rsidRPr="00CB0316">
              <w:t>Sir John Rogerson's Quay,</w:t>
            </w:r>
          </w:p>
          <w:p w14:paraId="69EAD647" w14:textId="77777777" w:rsidR="00833787" w:rsidRPr="00CB0316" w:rsidRDefault="00833787" w:rsidP="00B86868">
            <w:pPr>
              <w:pStyle w:val="StandardOCAshurst"/>
              <w:jc w:val="center"/>
            </w:pPr>
            <w:r w:rsidRPr="00CB0316">
              <w:t>Grand Canal Dock,</w:t>
            </w:r>
          </w:p>
          <w:p w14:paraId="712B4D03" w14:textId="77777777" w:rsidR="00833787" w:rsidRPr="00CB0316" w:rsidRDefault="00833787" w:rsidP="00B86868">
            <w:pPr>
              <w:pStyle w:val="StandardOCAshurst"/>
              <w:jc w:val="center"/>
            </w:pPr>
            <w:r w:rsidRPr="00CB0316">
              <w:t>Dublin 2</w:t>
            </w:r>
          </w:p>
          <w:p w14:paraId="25366986" w14:textId="77777777" w:rsidR="00833787" w:rsidRPr="00CB0316" w:rsidRDefault="00833787" w:rsidP="00B86868">
            <w:pPr>
              <w:pStyle w:val="StandardOCAshurst"/>
              <w:jc w:val="center"/>
            </w:pPr>
            <w:r w:rsidRPr="00CB0316">
              <w:t>Ireland</w:t>
            </w:r>
          </w:p>
          <w:p w14:paraId="337AEFDB" w14:textId="77777777" w:rsidR="00833787" w:rsidRPr="00CB0316" w:rsidRDefault="00833787" w:rsidP="00B86868">
            <w:pPr>
              <w:pStyle w:val="StandardOCAshurst"/>
              <w:jc w:val="center"/>
              <w:rPr>
                <w:b/>
              </w:rPr>
            </w:pPr>
          </w:p>
        </w:tc>
      </w:tr>
      <w:tr w:rsidR="00125818" w:rsidRPr="00CB0316" w14:paraId="7837B6B6" w14:textId="77777777" w:rsidTr="00B86868">
        <w:tc>
          <w:tcPr>
            <w:tcW w:w="2765" w:type="dxa"/>
          </w:tcPr>
          <w:p w14:paraId="3D2E2D58" w14:textId="77777777" w:rsidR="00833787" w:rsidRPr="00CB0316" w:rsidRDefault="00833787" w:rsidP="00B86868">
            <w:pPr>
              <w:pStyle w:val="StandardOCAshurst"/>
              <w:jc w:val="center"/>
              <w:rPr>
                <w:b/>
              </w:rPr>
            </w:pPr>
          </w:p>
        </w:tc>
        <w:tc>
          <w:tcPr>
            <w:tcW w:w="2775" w:type="dxa"/>
          </w:tcPr>
          <w:p w14:paraId="2F8E64AF" w14:textId="77777777" w:rsidR="00833787" w:rsidRPr="00CB0316" w:rsidRDefault="00833787" w:rsidP="00B86868">
            <w:pPr>
              <w:pStyle w:val="StandardOCAshurst"/>
              <w:jc w:val="center"/>
              <w:rPr>
                <w:b/>
              </w:rPr>
            </w:pPr>
            <w:r w:rsidRPr="00CB0316">
              <w:rPr>
                <w:b/>
              </w:rPr>
              <w:t>Auditors</w:t>
            </w:r>
          </w:p>
          <w:p w14:paraId="04B94DA4" w14:textId="77777777" w:rsidR="00833787" w:rsidRPr="00CB0316" w:rsidRDefault="00833787" w:rsidP="00B86868">
            <w:pPr>
              <w:pStyle w:val="StandardOCAshurst"/>
              <w:jc w:val="center"/>
            </w:pPr>
          </w:p>
        </w:tc>
        <w:tc>
          <w:tcPr>
            <w:tcW w:w="2766" w:type="dxa"/>
          </w:tcPr>
          <w:p w14:paraId="53E44BAB" w14:textId="77777777" w:rsidR="00833787" w:rsidRPr="00CB0316" w:rsidRDefault="00833787" w:rsidP="00B86868">
            <w:pPr>
              <w:pStyle w:val="StandardOCAshurst"/>
              <w:jc w:val="center"/>
              <w:rPr>
                <w:b/>
              </w:rPr>
            </w:pPr>
          </w:p>
        </w:tc>
      </w:tr>
      <w:tr w:rsidR="00125818" w:rsidRPr="00CB0316" w14:paraId="45FF018E" w14:textId="77777777" w:rsidTr="00B86868">
        <w:tc>
          <w:tcPr>
            <w:tcW w:w="2765" w:type="dxa"/>
          </w:tcPr>
          <w:p w14:paraId="0C694AEC" w14:textId="77777777" w:rsidR="00833787" w:rsidRPr="00CB0316" w:rsidRDefault="00833787" w:rsidP="00B86868">
            <w:pPr>
              <w:pStyle w:val="StandardOCAshurst"/>
              <w:jc w:val="center"/>
              <w:rPr>
                <w:b/>
              </w:rPr>
            </w:pPr>
            <w:r w:rsidRPr="00CB0316">
              <w:rPr>
                <w:b/>
              </w:rPr>
              <w:t>Independent Auditors of JPMorgan Chase Bank, N.A.</w:t>
            </w:r>
          </w:p>
        </w:tc>
        <w:tc>
          <w:tcPr>
            <w:tcW w:w="2775" w:type="dxa"/>
          </w:tcPr>
          <w:p w14:paraId="3E6BFB4E" w14:textId="77777777" w:rsidR="00833787" w:rsidRPr="00CB0316" w:rsidRDefault="00833787" w:rsidP="00B86868">
            <w:pPr>
              <w:pStyle w:val="StandardOCAshurst"/>
              <w:jc w:val="center"/>
              <w:rPr>
                <w:b/>
              </w:rPr>
            </w:pPr>
            <w:r w:rsidRPr="00CB0316">
              <w:rPr>
                <w:b/>
              </w:rPr>
              <w:t>Independent Auditors of JPMSP</w:t>
            </w:r>
          </w:p>
        </w:tc>
        <w:tc>
          <w:tcPr>
            <w:tcW w:w="2766" w:type="dxa"/>
          </w:tcPr>
          <w:p w14:paraId="4F94A252" w14:textId="77777777" w:rsidR="00833787" w:rsidRPr="00CB0316" w:rsidRDefault="00833787" w:rsidP="00B86868">
            <w:pPr>
              <w:pStyle w:val="StandardOCAshurst"/>
              <w:jc w:val="center"/>
              <w:rPr>
                <w:b/>
              </w:rPr>
            </w:pPr>
            <w:r w:rsidRPr="00CB0316">
              <w:rPr>
                <w:b/>
              </w:rPr>
              <w:t>Independent Registered Public Accounting Firm of JPMorgan Chase &amp; Co.</w:t>
            </w:r>
          </w:p>
          <w:p w14:paraId="14240C78" w14:textId="77777777" w:rsidR="00833787" w:rsidRPr="00CB0316" w:rsidRDefault="00833787" w:rsidP="00B86868">
            <w:pPr>
              <w:pStyle w:val="StandardOCAshurst"/>
              <w:jc w:val="center"/>
              <w:rPr>
                <w:b/>
              </w:rPr>
            </w:pPr>
          </w:p>
        </w:tc>
      </w:tr>
      <w:tr w:rsidR="00125818" w:rsidRPr="00CB0316" w14:paraId="05DBBFAF" w14:textId="77777777" w:rsidTr="00B86868">
        <w:tc>
          <w:tcPr>
            <w:tcW w:w="2765" w:type="dxa"/>
          </w:tcPr>
          <w:p w14:paraId="62EB73A2" w14:textId="7A457C49" w:rsidR="00833787" w:rsidRPr="00CB0316" w:rsidRDefault="00833787" w:rsidP="00B86868">
            <w:pPr>
              <w:pStyle w:val="StandardOCAshurst"/>
              <w:jc w:val="center"/>
              <w:rPr>
                <w:b/>
              </w:rPr>
            </w:pPr>
            <w:r w:rsidRPr="00CB0316">
              <w:rPr>
                <w:b/>
              </w:rPr>
              <w:t>Price</w:t>
            </w:r>
            <w:r w:rsidR="00BD6159" w:rsidRPr="00CB0316">
              <w:rPr>
                <w:b/>
              </w:rPr>
              <w:t>w</w:t>
            </w:r>
            <w:r w:rsidRPr="00CB0316">
              <w:rPr>
                <w:b/>
              </w:rPr>
              <w:t>aterhouseCoopers LLP</w:t>
            </w:r>
          </w:p>
          <w:p w14:paraId="7DBFFFE4" w14:textId="77777777" w:rsidR="00833787" w:rsidRPr="00CB0316" w:rsidRDefault="00833787" w:rsidP="00B86868">
            <w:pPr>
              <w:pStyle w:val="StandardOCAshurst"/>
              <w:jc w:val="center"/>
            </w:pPr>
            <w:r w:rsidRPr="00CB0316">
              <w:t>300 Madison Avenue</w:t>
            </w:r>
          </w:p>
          <w:p w14:paraId="49C8B933" w14:textId="77777777" w:rsidR="00833787" w:rsidRPr="00CB0316" w:rsidRDefault="00833787" w:rsidP="00B86868">
            <w:pPr>
              <w:pStyle w:val="StandardOCAshurst"/>
              <w:jc w:val="center"/>
            </w:pPr>
            <w:r w:rsidRPr="00CB0316">
              <w:t>New York, New York 10017</w:t>
            </w:r>
          </w:p>
          <w:p w14:paraId="3475BE9B" w14:textId="77777777" w:rsidR="00833787" w:rsidRPr="00CB0316" w:rsidRDefault="00833787" w:rsidP="00B86868">
            <w:pPr>
              <w:pStyle w:val="StandardOCAshurst"/>
              <w:jc w:val="center"/>
            </w:pPr>
            <w:r w:rsidRPr="00CB0316">
              <w:t>United States of America</w:t>
            </w:r>
          </w:p>
          <w:p w14:paraId="241E1B6C" w14:textId="77777777" w:rsidR="00833787" w:rsidRPr="00CB0316" w:rsidRDefault="00833787" w:rsidP="00B86868">
            <w:pPr>
              <w:pStyle w:val="StandardOCAshurst"/>
              <w:jc w:val="center"/>
              <w:rPr>
                <w:b/>
              </w:rPr>
            </w:pPr>
          </w:p>
        </w:tc>
        <w:tc>
          <w:tcPr>
            <w:tcW w:w="2775" w:type="dxa"/>
          </w:tcPr>
          <w:p w14:paraId="320ED347" w14:textId="4F78AF44" w:rsidR="00833787" w:rsidRPr="00CB0316" w:rsidRDefault="00833787" w:rsidP="00B86868">
            <w:pPr>
              <w:pStyle w:val="StandardOCAshurst"/>
              <w:jc w:val="center"/>
              <w:rPr>
                <w:b/>
              </w:rPr>
            </w:pPr>
            <w:r w:rsidRPr="00CB0316">
              <w:rPr>
                <w:b/>
              </w:rPr>
              <w:t>Price</w:t>
            </w:r>
            <w:r w:rsidR="00BD6159" w:rsidRPr="00CB0316">
              <w:rPr>
                <w:b/>
              </w:rPr>
              <w:t>w</w:t>
            </w:r>
            <w:r w:rsidRPr="00CB0316">
              <w:rPr>
                <w:b/>
              </w:rPr>
              <w:t>aterhouseCoopers Accountants N.V.</w:t>
            </w:r>
          </w:p>
          <w:p w14:paraId="7DCC2AD9" w14:textId="77777777" w:rsidR="00833787" w:rsidRPr="00CB0316" w:rsidRDefault="00833787" w:rsidP="00B86868">
            <w:pPr>
              <w:pStyle w:val="StandardOCAshurst"/>
              <w:jc w:val="center"/>
              <w:rPr>
                <w:bCs/>
              </w:rPr>
            </w:pPr>
            <w:r w:rsidRPr="00CB0316">
              <w:rPr>
                <w:bCs/>
              </w:rPr>
              <w:t xml:space="preserve">Thomas R. </w:t>
            </w:r>
            <w:proofErr w:type="spellStart"/>
            <w:r w:rsidRPr="00CB0316">
              <w:rPr>
                <w:bCs/>
              </w:rPr>
              <w:t>Malthusstraat</w:t>
            </w:r>
            <w:proofErr w:type="spellEnd"/>
            <w:r w:rsidRPr="00CB0316">
              <w:rPr>
                <w:bCs/>
              </w:rPr>
              <w:t xml:space="preserve"> 5</w:t>
            </w:r>
          </w:p>
          <w:p w14:paraId="1C94C1CB" w14:textId="77777777" w:rsidR="00833787" w:rsidRPr="00CB0316" w:rsidRDefault="00833787" w:rsidP="00B86868">
            <w:pPr>
              <w:pStyle w:val="StandardOCAshurst"/>
              <w:jc w:val="center"/>
              <w:rPr>
                <w:bCs/>
              </w:rPr>
            </w:pPr>
            <w:r w:rsidRPr="00CB0316">
              <w:rPr>
                <w:bCs/>
              </w:rPr>
              <w:t>1066 JR Amsterdam</w:t>
            </w:r>
          </w:p>
          <w:p w14:paraId="11DB3F12" w14:textId="77777777" w:rsidR="00833787" w:rsidRPr="00CB0316" w:rsidRDefault="00833787" w:rsidP="00B86868">
            <w:pPr>
              <w:pStyle w:val="StandardOCAshurst"/>
              <w:spacing w:after="240"/>
              <w:jc w:val="center"/>
              <w:rPr>
                <w:b/>
              </w:rPr>
            </w:pPr>
            <w:r w:rsidRPr="00CB0316">
              <w:rPr>
                <w:bCs/>
              </w:rPr>
              <w:t>The Netherlands</w:t>
            </w:r>
          </w:p>
        </w:tc>
        <w:tc>
          <w:tcPr>
            <w:tcW w:w="2766" w:type="dxa"/>
          </w:tcPr>
          <w:p w14:paraId="230F6377" w14:textId="700A36FB" w:rsidR="00833787" w:rsidRPr="00CB0316" w:rsidRDefault="00833787" w:rsidP="00B86868">
            <w:pPr>
              <w:pStyle w:val="StandardOCAshurst"/>
              <w:jc w:val="center"/>
              <w:rPr>
                <w:b/>
              </w:rPr>
            </w:pPr>
            <w:r w:rsidRPr="00CB0316">
              <w:rPr>
                <w:b/>
              </w:rPr>
              <w:t>Price</w:t>
            </w:r>
            <w:r w:rsidR="00BD6159" w:rsidRPr="00CB0316">
              <w:rPr>
                <w:b/>
              </w:rPr>
              <w:t>w</w:t>
            </w:r>
            <w:r w:rsidRPr="00CB0316">
              <w:rPr>
                <w:b/>
              </w:rPr>
              <w:t>aterhouseCoopers LLP</w:t>
            </w:r>
          </w:p>
          <w:p w14:paraId="2067A27A" w14:textId="77777777" w:rsidR="00833787" w:rsidRPr="00CB0316" w:rsidRDefault="00833787" w:rsidP="00B86868">
            <w:pPr>
              <w:pStyle w:val="StandardOCAshurst"/>
              <w:jc w:val="center"/>
            </w:pPr>
            <w:r w:rsidRPr="00CB0316">
              <w:t>300 Madison Avenue</w:t>
            </w:r>
          </w:p>
          <w:p w14:paraId="42D0D86B" w14:textId="77777777" w:rsidR="00833787" w:rsidRPr="00CB0316" w:rsidRDefault="00833787" w:rsidP="00B86868">
            <w:pPr>
              <w:pStyle w:val="StandardOCAshurst"/>
              <w:jc w:val="center"/>
            </w:pPr>
            <w:r w:rsidRPr="00CB0316">
              <w:t>New York, New York 10017</w:t>
            </w:r>
          </w:p>
          <w:p w14:paraId="610B6041" w14:textId="77777777" w:rsidR="00833787" w:rsidRPr="00CB0316" w:rsidRDefault="00833787" w:rsidP="00B86868">
            <w:pPr>
              <w:pStyle w:val="StandardOCAshurst"/>
              <w:jc w:val="center"/>
            </w:pPr>
            <w:r w:rsidRPr="00CB0316">
              <w:t>United States of America</w:t>
            </w:r>
          </w:p>
          <w:p w14:paraId="0C788039" w14:textId="77777777" w:rsidR="00833787" w:rsidRPr="00CB0316" w:rsidRDefault="00833787" w:rsidP="00B86868">
            <w:pPr>
              <w:pStyle w:val="StandardOCAshurst"/>
              <w:jc w:val="center"/>
              <w:rPr>
                <w:b/>
              </w:rPr>
            </w:pPr>
          </w:p>
        </w:tc>
      </w:tr>
      <w:tr w:rsidR="00125818" w:rsidRPr="00CB0316" w14:paraId="1C304F74" w14:textId="77777777" w:rsidTr="00B86868">
        <w:tc>
          <w:tcPr>
            <w:tcW w:w="2765" w:type="dxa"/>
          </w:tcPr>
          <w:p w14:paraId="5A556029" w14:textId="77777777" w:rsidR="00833787" w:rsidRPr="00CB0316" w:rsidRDefault="00833787" w:rsidP="00B86868">
            <w:pPr>
              <w:pStyle w:val="StandardOCAshurst"/>
              <w:jc w:val="center"/>
              <w:rPr>
                <w:b/>
              </w:rPr>
            </w:pPr>
          </w:p>
        </w:tc>
        <w:tc>
          <w:tcPr>
            <w:tcW w:w="2775" w:type="dxa"/>
          </w:tcPr>
          <w:p w14:paraId="1856D898" w14:textId="77777777" w:rsidR="00833787" w:rsidRPr="00CB0316" w:rsidRDefault="00833787" w:rsidP="00B86868">
            <w:pPr>
              <w:pStyle w:val="StandardOCAshurst"/>
              <w:jc w:val="center"/>
              <w:rPr>
                <w:b/>
              </w:rPr>
            </w:pPr>
            <w:r w:rsidRPr="00CB0316">
              <w:rPr>
                <w:b/>
              </w:rPr>
              <w:t>Independent Auditors of JPMorgan Chase Financial Company LLC</w:t>
            </w:r>
          </w:p>
        </w:tc>
        <w:tc>
          <w:tcPr>
            <w:tcW w:w="2766" w:type="dxa"/>
          </w:tcPr>
          <w:p w14:paraId="56BFEE93" w14:textId="77777777" w:rsidR="00833787" w:rsidRPr="00CB0316" w:rsidRDefault="00833787" w:rsidP="00B86868">
            <w:pPr>
              <w:pStyle w:val="StandardOCAshurst"/>
              <w:jc w:val="center"/>
              <w:rPr>
                <w:b/>
              </w:rPr>
            </w:pPr>
          </w:p>
        </w:tc>
      </w:tr>
      <w:tr w:rsidR="00125818" w:rsidRPr="00CB0316" w14:paraId="2375377E" w14:textId="77777777" w:rsidTr="00B86868">
        <w:tc>
          <w:tcPr>
            <w:tcW w:w="2765" w:type="dxa"/>
          </w:tcPr>
          <w:p w14:paraId="0464C4A6" w14:textId="77777777" w:rsidR="00833787" w:rsidRPr="00CB0316" w:rsidRDefault="00833787" w:rsidP="00B86868">
            <w:pPr>
              <w:pStyle w:val="StandardOCAshurst"/>
              <w:jc w:val="center"/>
              <w:rPr>
                <w:b/>
              </w:rPr>
            </w:pPr>
          </w:p>
        </w:tc>
        <w:tc>
          <w:tcPr>
            <w:tcW w:w="2775" w:type="dxa"/>
          </w:tcPr>
          <w:p w14:paraId="28D8CDED" w14:textId="4B1C7D3B" w:rsidR="00833787" w:rsidRPr="00CB0316" w:rsidRDefault="00833787" w:rsidP="00B86868">
            <w:pPr>
              <w:pStyle w:val="StandardOCAshurst"/>
              <w:jc w:val="center"/>
              <w:rPr>
                <w:b/>
              </w:rPr>
            </w:pPr>
            <w:r w:rsidRPr="00CB0316">
              <w:rPr>
                <w:b/>
              </w:rPr>
              <w:t>Price</w:t>
            </w:r>
            <w:r w:rsidR="00BD6159" w:rsidRPr="00CB0316">
              <w:rPr>
                <w:b/>
              </w:rPr>
              <w:t>w</w:t>
            </w:r>
            <w:r w:rsidRPr="00CB0316">
              <w:rPr>
                <w:b/>
              </w:rPr>
              <w:t>aterhouseCoopers LLP</w:t>
            </w:r>
          </w:p>
          <w:p w14:paraId="2060CABA" w14:textId="77777777" w:rsidR="00833787" w:rsidRPr="00CB0316" w:rsidRDefault="00833787" w:rsidP="00B86868">
            <w:pPr>
              <w:pStyle w:val="StandardOCAshurst"/>
              <w:jc w:val="center"/>
              <w:rPr>
                <w:bCs/>
              </w:rPr>
            </w:pPr>
            <w:r w:rsidRPr="00CB0316">
              <w:rPr>
                <w:bCs/>
              </w:rPr>
              <w:t>300 Madison Avenue</w:t>
            </w:r>
          </w:p>
          <w:p w14:paraId="3C4DFBF1" w14:textId="77777777" w:rsidR="00833787" w:rsidRPr="00CB0316" w:rsidRDefault="00833787" w:rsidP="00B86868">
            <w:pPr>
              <w:pStyle w:val="StandardOCAshurst"/>
              <w:jc w:val="center"/>
              <w:rPr>
                <w:bCs/>
              </w:rPr>
            </w:pPr>
            <w:r w:rsidRPr="00CB0316">
              <w:rPr>
                <w:bCs/>
              </w:rPr>
              <w:t>New York, New York 10017</w:t>
            </w:r>
          </w:p>
          <w:p w14:paraId="16C71323" w14:textId="77777777" w:rsidR="00833787" w:rsidRPr="00CB0316" w:rsidRDefault="00833787" w:rsidP="00B86868">
            <w:pPr>
              <w:pStyle w:val="StandardOCAshurst"/>
              <w:jc w:val="center"/>
              <w:rPr>
                <w:b/>
              </w:rPr>
            </w:pPr>
            <w:r w:rsidRPr="00CB0316">
              <w:rPr>
                <w:bCs/>
              </w:rPr>
              <w:t>United States of America</w:t>
            </w:r>
          </w:p>
        </w:tc>
        <w:tc>
          <w:tcPr>
            <w:tcW w:w="2766" w:type="dxa"/>
          </w:tcPr>
          <w:p w14:paraId="6E35DD3C" w14:textId="77777777" w:rsidR="00833787" w:rsidRPr="00CB0316" w:rsidRDefault="00833787" w:rsidP="00B86868">
            <w:pPr>
              <w:pStyle w:val="StandardOCAshurst"/>
              <w:jc w:val="center"/>
              <w:rPr>
                <w:b/>
              </w:rPr>
            </w:pPr>
          </w:p>
        </w:tc>
      </w:tr>
      <w:tr w:rsidR="00125818" w:rsidRPr="00CB0316" w14:paraId="08629660" w14:textId="77777777" w:rsidTr="00B86868">
        <w:tc>
          <w:tcPr>
            <w:tcW w:w="2765" w:type="dxa"/>
          </w:tcPr>
          <w:p w14:paraId="62DE9771" w14:textId="77777777" w:rsidR="00833787" w:rsidRPr="00CB0316" w:rsidRDefault="00833787" w:rsidP="00B86868">
            <w:pPr>
              <w:pStyle w:val="StandardOCAshurst"/>
              <w:jc w:val="center"/>
              <w:rPr>
                <w:b/>
              </w:rPr>
            </w:pPr>
          </w:p>
        </w:tc>
        <w:tc>
          <w:tcPr>
            <w:tcW w:w="2775" w:type="dxa"/>
          </w:tcPr>
          <w:p w14:paraId="283FE434" w14:textId="77777777" w:rsidR="00794AB3" w:rsidRPr="00CB0316" w:rsidRDefault="00794AB3" w:rsidP="00B86868">
            <w:pPr>
              <w:pStyle w:val="StandardOCAshurst"/>
              <w:jc w:val="center"/>
              <w:rPr>
                <w:b/>
              </w:rPr>
            </w:pPr>
          </w:p>
          <w:p w14:paraId="1064AC83" w14:textId="67E07045" w:rsidR="00833787" w:rsidRPr="00CB0316" w:rsidRDefault="00833787" w:rsidP="00B86868">
            <w:pPr>
              <w:pStyle w:val="StandardOCAshurst"/>
              <w:jc w:val="center"/>
              <w:rPr>
                <w:b/>
              </w:rPr>
            </w:pPr>
            <w:r w:rsidRPr="00CB0316">
              <w:rPr>
                <w:b/>
              </w:rPr>
              <w:t>Legal Advisers</w:t>
            </w:r>
          </w:p>
          <w:p w14:paraId="013AC4A2" w14:textId="77777777" w:rsidR="00833787" w:rsidRPr="00CB0316" w:rsidRDefault="00833787" w:rsidP="00B86868">
            <w:pPr>
              <w:pStyle w:val="StandardOCAshurst"/>
              <w:jc w:val="center"/>
              <w:rPr>
                <w:b/>
              </w:rPr>
            </w:pPr>
          </w:p>
        </w:tc>
        <w:tc>
          <w:tcPr>
            <w:tcW w:w="2766" w:type="dxa"/>
          </w:tcPr>
          <w:p w14:paraId="46962051" w14:textId="77777777" w:rsidR="00833787" w:rsidRPr="00CB0316" w:rsidRDefault="00833787" w:rsidP="00B86868">
            <w:pPr>
              <w:pStyle w:val="StandardOCAshurst"/>
              <w:jc w:val="center"/>
              <w:rPr>
                <w:b/>
              </w:rPr>
            </w:pPr>
          </w:p>
        </w:tc>
      </w:tr>
      <w:tr w:rsidR="00125818" w:rsidRPr="00CB0316" w14:paraId="25BE2906" w14:textId="77777777" w:rsidTr="00B86868">
        <w:tc>
          <w:tcPr>
            <w:tcW w:w="2765" w:type="dxa"/>
          </w:tcPr>
          <w:p w14:paraId="492FA2BD" w14:textId="77777777" w:rsidR="00833787" w:rsidRPr="00CB0316" w:rsidRDefault="00833787" w:rsidP="00B86868">
            <w:pPr>
              <w:pStyle w:val="StandardOCAshurst"/>
              <w:jc w:val="center"/>
              <w:rPr>
                <w:b/>
              </w:rPr>
            </w:pPr>
          </w:p>
        </w:tc>
        <w:tc>
          <w:tcPr>
            <w:tcW w:w="2775" w:type="dxa"/>
          </w:tcPr>
          <w:p w14:paraId="4382F989" w14:textId="77777777" w:rsidR="00833787" w:rsidRPr="00CB0316" w:rsidRDefault="00833787" w:rsidP="00B86868">
            <w:pPr>
              <w:pStyle w:val="StandardOCAshurst"/>
              <w:jc w:val="center"/>
              <w:rPr>
                <w:b/>
              </w:rPr>
            </w:pPr>
            <w:r w:rsidRPr="00CB0316">
              <w:rPr>
                <w:b/>
              </w:rPr>
              <w:t>To the Issuers</w:t>
            </w:r>
          </w:p>
          <w:p w14:paraId="12ABE48C" w14:textId="77777777" w:rsidR="00833787" w:rsidRPr="00CB0316" w:rsidRDefault="00833787" w:rsidP="00B86868">
            <w:pPr>
              <w:pStyle w:val="StandardOCAshurst"/>
              <w:jc w:val="center"/>
              <w:rPr>
                <w:b/>
              </w:rPr>
            </w:pPr>
          </w:p>
        </w:tc>
        <w:tc>
          <w:tcPr>
            <w:tcW w:w="2766" w:type="dxa"/>
          </w:tcPr>
          <w:p w14:paraId="676B9849" w14:textId="77777777" w:rsidR="00833787" w:rsidRPr="00CB0316" w:rsidRDefault="00833787" w:rsidP="00B86868">
            <w:pPr>
              <w:pStyle w:val="StandardOCAshurst"/>
              <w:jc w:val="center"/>
              <w:rPr>
                <w:b/>
              </w:rPr>
            </w:pPr>
          </w:p>
        </w:tc>
      </w:tr>
      <w:tr w:rsidR="00125818" w:rsidRPr="00CB0316" w14:paraId="3CA68FFA" w14:textId="77777777" w:rsidTr="00B86868">
        <w:tc>
          <w:tcPr>
            <w:tcW w:w="2765" w:type="dxa"/>
          </w:tcPr>
          <w:p w14:paraId="0B38925D" w14:textId="77777777" w:rsidR="00833787" w:rsidRPr="00CB0316" w:rsidRDefault="00833787" w:rsidP="00B86868">
            <w:pPr>
              <w:pStyle w:val="StandardOCAshurst"/>
              <w:jc w:val="center"/>
              <w:rPr>
                <w:i/>
              </w:rPr>
            </w:pPr>
            <w:r w:rsidRPr="00CB0316">
              <w:rPr>
                <w:i/>
              </w:rPr>
              <w:t>in respect of U.S. law</w:t>
            </w:r>
          </w:p>
          <w:p w14:paraId="1453C2B2" w14:textId="77777777" w:rsidR="00833787" w:rsidRPr="00CB0316" w:rsidRDefault="00833787" w:rsidP="00B86868">
            <w:pPr>
              <w:pStyle w:val="StandardOCAshurst"/>
              <w:jc w:val="center"/>
              <w:rPr>
                <w:b/>
              </w:rPr>
            </w:pPr>
          </w:p>
        </w:tc>
        <w:tc>
          <w:tcPr>
            <w:tcW w:w="2775" w:type="dxa"/>
          </w:tcPr>
          <w:p w14:paraId="6C60D006" w14:textId="77777777" w:rsidR="00833787" w:rsidRPr="00CB0316" w:rsidRDefault="00833787" w:rsidP="00B86868">
            <w:pPr>
              <w:pStyle w:val="StandardOCAshurst"/>
              <w:jc w:val="center"/>
              <w:rPr>
                <w:b/>
              </w:rPr>
            </w:pPr>
          </w:p>
        </w:tc>
        <w:tc>
          <w:tcPr>
            <w:tcW w:w="2766" w:type="dxa"/>
          </w:tcPr>
          <w:p w14:paraId="59195A35" w14:textId="77777777" w:rsidR="00833787" w:rsidRPr="00CB0316" w:rsidRDefault="00833787" w:rsidP="00B86868">
            <w:pPr>
              <w:pStyle w:val="StandardOCAshurst"/>
              <w:jc w:val="center"/>
              <w:rPr>
                <w:b/>
              </w:rPr>
            </w:pPr>
            <w:r w:rsidRPr="00CB0316">
              <w:rPr>
                <w:i/>
              </w:rPr>
              <w:t>in respect of Dutch law</w:t>
            </w:r>
          </w:p>
        </w:tc>
      </w:tr>
      <w:tr w:rsidR="00125818" w:rsidRPr="00CB0316" w14:paraId="74918937" w14:textId="77777777" w:rsidTr="00B86868">
        <w:tc>
          <w:tcPr>
            <w:tcW w:w="2765" w:type="dxa"/>
          </w:tcPr>
          <w:p w14:paraId="5CEE32CD" w14:textId="77777777" w:rsidR="00833787" w:rsidRPr="00CB0316" w:rsidRDefault="00833787" w:rsidP="00B86868">
            <w:pPr>
              <w:pStyle w:val="StandardOCAshurst"/>
              <w:jc w:val="center"/>
              <w:rPr>
                <w:b/>
              </w:rPr>
            </w:pPr>
            <w:r w:rsidRPr="00CB0316">
              <w:rPr>
                <w:b/>
              </w:rPr>
              <w:t>Ashurst LLP</w:t>
            </w:r>
          </w:p>
          <w:p w14:paraId="391FB92A" w14:textId="77777777" w:rsidR="00833787" w:rsidRPr="00CB0316" w:rsidRDefault="00833787" w:rsidP="00B86868">
            <w:pPr>
              <w:pStyle w:val="StandardOCAshurst"/>
              <w:jc w:val="center"/>
            </w:pPr>
            <w:r w:rsidRPr="00CB0316">
              <w:t>55 Hudson Yards</w:t>
            </w:r>
          </w:p>
          <w:p w14:paraId="110F602B" w14:textId="77777777" w:rsidR="00833787" w:rsidRPr="00CB0316" w:rsidRDefault="00833787" w:rsidP="00B86868">
            <w:pPr>
              <w:pStyle w:val="StandardOCAshurst"/>
              <w:jc w:val="center"/>
            </w:pPr>
            <w:r w:rsidRPr="00CB0316">
              <w:t>18th Floor</w:t>
            </w:r>
          </w:p>
          <w:p w14:paraId="15E91848" w14:textId="77777777" w:rsidR="00833787" w:rsidRPr="00CB0316" w:rsidRDefault="00833787" w:rsidP="00B86868">
            <w:pPr>
              <w:pStyle w:val="StandardOCAshurst"/>
              <w:jc w:val="center"/>
            </w:pPr>
            <w:r w:rsidRPr="00CB0316">
              <w:t>New York, NY 10001</w:t>
            </w:r>
          </w:p>
          <w:p w14:paraId="2A5540A6" w14:textId="77777777" w:rsidR="00833787" w:rsidRPr="00CB0316" w:rsidRDefault="00833787" w:rsidP="00B86868">
            <w:pPr>
              <w:pStyle w:val="StandardOCAshurst"/>
              <w:jc w:val="center"/>
            </w:pPr>
            <w:r w:rsidRPr="00CB0316">
              <w:t>United States of America</w:t>
            </w:r>
          </w:p>
          <w:p w14:paraId="239DE684" w14:textId="77777777" w:rsidR="00833787" w:rsidRPr="00CB0316" w:rsidRDefault="00833787" w:rsidP="00B86868">
            <w:pPr>
              <w:pStyle w:val="StandardOCAshurst"/>
              <w:jc w:val="center"/>
            </w:pPr>
          </w:p>
        </w:tc>
        <w:tc>
          <w:tcPr>
            <w:tcW w:w="2775" w:type="dxa"/>
          </w:tcPr>
          <w:p w14:paraId="7BA110FE" w14:textId="77777777" w:rsidR="00833787" w:rsidRPr="00CB0316" w:rsidRDefault="00833787" w:rsidP="00B86868">
            <w:pPr>
              <w:pStyle w:val="StandardOCAshurst"/>
              <w:jc w:val="center"/>
              <w:rPr>
                <w:b/>
              </w:rPr>
            </w:pPr>
          </w:p>
        </w:tc>
        <w:tc>
          <w:tcPr>
            <w:tcW w:w="2766" w:type="dxa"/>
          </w:tcPr>
          <w:p w14:paraId="6D15E592" w14:textId="77777777" w:rsidR="00833787" w:rsidRPr="00CB0316" w:rsidRDefault="00833787" w:rsidP="00B86868">
            <w:pPr>
              <w:pStyle w:val="StandardOCAshurst"/>
              <w:jc w:val="center"/>
              <w:rPr>
                <w:b/>
              </w:rPr>
            </w:pPr>
            <w:r w:rsidRPr="00CB0316">
              <w:rPr>
                <w:b/>
              </w:rPr>
              <w:t>Clifford Chance LLP</w:t>
            </w:r>
          </w:p>
          <w:p w14:paraId="7C14F145" w14:textId="77777777" w:rsidR="00833787" w:rsidRPr="00CB0316" w:rsidRDefault="00833787" w:rsidP="00B86868">
            <w:pPr>
              <w:pStyle w:val="StandardOCAshurst"/>
              <w:jc w:val="center"/>
            </w:pPr>
            <w:proofErr w:type="spellStart"/>
            <w:r w:rsidRPr="00CB0316">
              <w:t>Droogbak</w:t>
            </w:r>
            <w:proofErr w:type="spellEnd"/>
            <w:r w:rsidRPr="00CB0316">
              <w:t xml:space="preserve"> </w:t>
            </w:r>
            <w:proofErr w:type="spellStart"/>
            <w:r w:rsidRPr="00CB0316">
              <w:t>1A</w:t>
            </w:r>
            <w:proofErr w:type="spellEnd"/>
          </w:p>
          <w:p w14:paraId="4A78DF2C" w14:textId="77777777" w:rsidR="00833787" w:rsidRPr="00CB0316" w:rsidRDefault="00833787" w:rsidP="00B86868">
            <w:pPr>
              <w:pStyle w:val="StandardOCAshurst"/>
              <w:jc w:val="center"/>
            </w:pPr>
            <w:r w:rsidRPr="00CB0316">
              <w:t>1013 GE Amsterdam</w:t>
            </w:r>
          </w:p>
          <w:p w14:paraId="1A16859C" w14:textId="77777777" w:rsidR="00833787" w:rsidRPr="00CB0316" w:rsidRDefault="00833787" w:rsidP="00B86868">
            <w:pPr>
              <w:pStyle w:val="StandardOCAshurst"/>
              <w:jc w:val="center"/>
            </w:pPr>
            <w:r w:rsidRPr="00CB0316">
              <w:t>PO Box 251</w:t>
            </w:r>
          </w:p>
          <w:p w14:paraId="6D10775A" w14:textId="77777777" w:rsidR="00833787" w:rsidRPr="00CB0316" w:rsidRDefault="00833787" w:rsidP="00B86868">
            <w:pPr>
              <w:pStyle w:val="StandardOCAshurst"/>
              <w:jc w:val="center"/>
            </w:pPr>
            <w:r w:rsidRPr="00CB0316">
              <w:t>1000 AG Amsterdam</w:t>
            </w:r>
          </w:p>
          <w:p w14:paraId="2BBFB50D" w14:textId="77777777" w:rsidR="00833787" w:rsidRPr="00CB0316" w:rsidRDefault="00833787" w:rsidP="00B86868">
            <w:pPr>
              <w:pStyle w:val="StandardOCAshurst"/>
              <w:jc w:val="center"/>
            </w:pPr>
            <w:r w:rsidRPr="00CB0316">
              <w:t>The Netherlands</w:t>
            </w:r>
          </w:p>
        </w:tc>
      </w:tr>
      <w:tr w:rsidR="00125818" w:rsidRPr="00CB0316" w14:paraId="54AD05DC" w14:textId="77777777" w:rsidTr="00B86868">
        <w:tc>
          <w:tcPr>
            <w:tcW w:w="2765" w:type="dxa"/>
          </w:tcPr>
          <w:p w14:paraId="0E49E67D" w14:textId="77777777" w:rsidR="00833787" w:rsidRPr="00CB0316" w:rsidRDefault="00833787" w:rsidP="00B86868">
            <w:pPr>
              <w:pStyle w:val="StandardOCAshurst"/>
              <w:jc w:val="center"/>
              <w:rPr>
                <w:i/>
              </w:rPr>
            </w:pPr>
          </w:p>
        </w:tc>
        <w:tc>
          <w:tcPr>
            <w:tcW w:w="2775" w:type="dxa"/>
          </w:tcPr>
          <w:p w14:paraId="441C0547" w14:textId="77777777" w:rsidR="00833787" w:rsidRPr="00CB0316" w:rsidRDefault="00833787" w:rsidP="00B86868">
            <w:pPr>
              <w:pStyle w:val="StandardOCAshurst"/>
              <w:jc w:val="center"/>
              <w:rPr>
                <w:b/>
              </w:rPr>
            </w:pPr>
          </w:p>
        </w:tc>
        <w:tc>
          <w:tcPr>
            <w:tcW w:w="2766" w:type="dxa"/>
          </w:tcPr>
          <w:p w14:paraId="020353A8" w14:textId="77777777" w:rsidR="00833787" w:rsidRPr="00CB0316" w:rsidRDefault="00833787" w:rsidP="00B86868">
            <w:pPr>
              <w:pStyle w:val="StandardOCAshurst"/>
              <w:jc w:val="center"/>
              <w:rPr>
                <w:i/>
              </w:rPr>
            </w:pPr>
          </w:p>
        </w:tc>
      </w:tr>
      <w:tr w:rsidR="00125818" w:rsidRPr="00CB0316" w14:paraId="2B25CEAA" w14:textId="77777777" w:rsidTr="00B86868">
        <w:tc>
          <w:tcPr>
            <w:tcW w:w="2765" w:type="dxa"/>
          </w:tcPr>
          <w:p w14:paraId="0CC69AC0" w14:textId="77777777" w:rsidR="00833787" w:rsidRPr="00CB0316" w:rsidRDefault="00833787" w:rsidP="00B86868">
            <w:pPr>
              <w:pStyle w:val="StandardOCAshurst"/>
              <w:jc w:val="center"/>
              <w:rPr>
                <w:i/>
              </w:rPr>
            </w:pPr>
          </w:p>
          <w:p w14:paraId="3A2B695A" w14:textId="77777777" w:rsidR="00833787" w:rsidRPr="00CB0316" w:rsidRDefault="00833787" w:rsidP="00B86868">
            <w:pPr>
              <w:pStyle w:val="StandardOCAshurst"/>
              <w:jc w:val="center"/>
              <w:rPr>
                <w:b/>
              </w:rPr>
            </w:pPr>
          </w:p>
        </w:tc>
        <w:tc>
          <w:tcPr>
            <w:tcW w:w="2775" w:type="dxa"/>
          </w:tcPr>
          <w:p w14:paraId="2E7584FA" w14:textId="77777777" w:rsidR="00833787" w:rsidRPr="00CB0316" w:rsidRDefault="00833787" w:rsidP="00B86868">
            <w:pPr>
              <w:pStyle w:val="StandardOCAshurst"/>
              <w:jc w:val="center"/>
              <w:rPr>
                <w:b/>
              </w:rPr>
            </w:pPr>
          </w:p>
        </w:tc>
        <w:tc>
          <w:tcPr>
            <w:tcW w:w="2766" w:type="dxa"/>
          </w:tcPr>
          <w:p w14:paraId="6D7B3825" w14:textId="77777777" w:rsidR="00833787" w:rsidRPr="00CB0316" w:rsidRDefault="00833787" w:rsidP="00B86868">
            <w:pPr>
              <w:pStyle w:val="StandardOCAshurst"/>
              <w:jc w:val="center"/>
              <w:rPr>
                <w:b/>
              </w:rPr>
            </w:pPr>
          </w:p>
        </w:tc>
      </w:tr>
      <w:tr w:rsidR="00833787" w:rsidRPr="00CB0316" w14:paraId="1B5B4C4B" w14:textId="77777777" w:rsidTr="00B86868">
        <w:tc>
          <w:tcPr>
            <w:tcW w:w="2765" w:type="dxa"/>
          </w:tcPr>
          <w:p w14:paraId="647626E6" w14:textId="77777777" w:rsidR="00833787" w:rsidRPr="00CB0316" w:rsidRDefault="00833787" w:rsidP="00B86868">
            <w:pPr>
              <w:pStyle w:val="StandardOCAshurst"/>
              <w:jc w:val="center"/>
            </w:pPr>
          </w:p>
        </w:tc>
        <w:tc>
          <w:tcPr>
            <w:tcW w:w="2775" w:type="dxa"/>
          </w:tcPr>
          <w:p w14:paraId="23BF28E9" w14:textId="77777777" w:rsidR="00833787" w:rsidRPr="00CB0316" w:rsidRDefault="00833787" w:rsidP="00B86868">
            <w:pPr>
              <w:pStyle w:val="StandardOCAshurst"/>
              <w:jc w:val="center"/>
              <w:rPr>
                <w:b/>
              </w:rPr>
            </w:pPr>
          </w:p>
        </w:tc>
        <w:tc>
          <w:tcPr>
            <w:tcW w:w="2766" w:type="dxa"/>
          </w:tcPr>
          <w:p w14:paraId="779146F0" w14:textId="77777777" w:rsidR="00833787" w:rsidRPr="00CB0316" w:rsidRDefault="00833787" w:rsidP="00B86868">
            <w:pPr>
              <w:pStyle w:val="StandardOCAshurst"/>
              <w:jc w:val="center"/>
              <w:rPr>
                <w:i/>
              </w:rPr>
            </w:pPr>
          </w:p>
        </w:tc>
      </w:tr>
    </w:tbl>
    <w:p w14:paraId="188A8A54" w14:textId="77777777" w:rsidR="00833787" w:rsidRPr="00CB0316" w:rsidRDefault="00833787" w:rsidP="00833787">
      <w:pPr>
        <w:rPr>
          <w:rFonts w:ascii="Times New Roman" w:hAnsi="Times New Roman"/>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68"/>
        <w:gridCol w:w="2782"/>
        <w:gridCol w:w="2756"/>
      </w:tblGrid>
      <w:tr w:rsidR="00125818" w:rsidRPr="00CB0316" w14:paraId="66EDBB44" w14:textId="77777777" w:rsidTr="00B86868">
        <w:tc>
          <w:tcPr>
            <w:tcW w:w="2768" w:type="dxa"/>
          </w:tcPr>
          <w:p w14:paraId="15E96B05" w14:textId="77777777" w:rsidR="00833787" w:rsidRPr="00CB0316" w:rsidRDefault="00833787" w:rsidP="00B86868">
            <w:pPr>
              <w:pStyle w:val="StandardOCAshurst"/>
              <w:keepNext/>
              <w:jc w:val="center"/>
              <w:rPr>
                <w:b/>
              </w:rPr>
            </w:pPr>
          </w:p>
        </w:tc>
        <w:tc>
          <w:tcPr>
            <w:tcW w:w="2782" w:type="dxa"/>
          </w:tcPr>
          <w:p w14:paraId="36BB62A1" w14:textId="77777777" w:rsidR="00833787" w:rsidRPr="00CB0316" w:rsidRDefault="00833787" w:rsidP="00B86868">
            <w:pPr>
              <w:pStyle w:val="StandardOCAshurst"/>
              <w:keepNext/>
              <w:jc w:val="center"/>
              <w:rPr>
                <w:b/>
              </w:rPr>
            </w:pPr>
            <w:r w:rsidRPr="00CB0316">
              <w:rPr>
                <w:b/>
              </w:rPr>
              <w:t>To the Arranger and Dealer</w:t>
            </w:r>
          </w:p>
          <w:p w14:paraId="4DC37CB9" w14:textId="77777777" w:rsidR="00833787" w:rsidRPr="00CB0316" w:rsidRDefault="00833787" w:rsidP="00B86868">
            <w:pPr>
              <w:pStyle w:val="StandardOCAshurst"/>
              <w:keepNext/>
              <w:jc w:val="center"/>
              <w:rPr>
                <w:b/>
              </w:rPr>
            </w:pPr>
          </w:p>
        </w:tc>
        <w:tc>
          <w:tcPr>
            <w:tcW w:w="2756" w:type="dxa"/>
          </w:tcPr>
          <w:p w14:paraId="5F94B4EC" w14:textId="77777777" w:rsidR="00833787" w:rsidRPr="00CB0316" w:rsidRDefault="00833787" w:rsidP="00B86868">
            <w:pPr>
              <w:pStyle w:val="StandardOCAshurst"/>
              <w:keepNext/>
              <w:jc w:val="center"/>
              <w:rPr>
                <w:b/>
              </w:rPr>
            </w:pPr>
          </w:p>
        </w:tc>
      </w:tr>
      <w:tr w:rsidR="00125818" w:rsidRPr="00CB0316" w14:paraId="57777D85" w14:textId="77777777" w:rsidTr="00B86868">
        <w:tc>
          <w:tcPr>
            <w:tcW w:w="2768" w:type="dxa"/>
          </w:tcPr>
          <w:p w14:paraId="4936115E" w14:textId="77777777" w:rsidR="00833787" w:rsidRPr="00CB0316" w:rsidRDefault="00833787" w:rsidP="00B86868">
            <w:pPr>
              <w:pStyle w:val="StandardOCAshurst"/>
              <w:keepNext/>
              <w:jc w:val="center"/>
              <w:rPr>
                <w:b/>
              </w:rPr>
            </w:pPr>
          </w:p>
        </w:tc>
        <w:tc>
          <w:tcPr>
            <w:tcW w:w="2782" w:type="dxa"/>
          </w:tcPr>
          <w:p w14:paraId="3A45320B" w14:textId="77777777" w:rsidR="00833787" w:rsidRPr="00CB0316" w:rsidRDefault="00833787" w:rsidP="00B86868">
            <w:pPr>
              <w:pStyle w:val="StandardOCAshurst"/>
              <w:keepNext/>
              <w:jc w:val="center"/>
              <w:rPr>
                <w:i/>
              </w:rPr>
            </w:pPr>
            <w:r w:rsidRPr="00CB0316">
              <w:rPr>
                <w:i/>
              </w:rPr>
              <w:t>in respect of English law</w:t>
            </w:r>
          </w:p>
          <w:p w14:paraId="0B9DA33F" w14:textId="77777777" w:rsidR="00833787" w:rsidRPr="00CB0316" w:rsidRDefault="00833787" w:rsidP="00B86868">
            <w:pPr>
              <w:pStyle w:val="StandardOCAshurst"/>
              <w:keepNext/>
              <w:jc w:val="center"/>
              <w:rPr>
                <w:b/>
              </w:rPr>
            </w:pPr>
          </w:p>
        </w:tc>
        <w:tc>
          <w:tcPr>
            <w:tcW w:w="2756" w:type="dxa"/>
          </w:tcPr>
          <w:p w14:paraId="398C53CC" w14:textId="77777777" w:rsidR="00833787" w:rsidRPr="00CB0316" w:rsidRDefault="00833787" w:rsidP="00B86868">
            <w:pPr>
              <w:pStyle w:val="StandardOCAshurst"/>
              <w:keepNext/>
              <w:jc w:val="center"/>
              <w:rPr>
                <w:b/>
              </w:rPr>
            </w:pPr>
          </w:p>
        </w:tc>
      </w:tr>
      <w:tr w:rsidR="00125818" w:rsidRPr="00CB0316" w14:paraId="05B07341" w14:textId="77777777" w:rsidTr="00B86868">
        <w:tc>
          <w:tcPr>
            <w:tcW w:w="2768" w:type="dxa"/>
          </w:tcPr>
          <w:p w14:paraId="1E172AF0" w14:textId="77777777" w:rsidR="00833787" w:rsidRPr="00CB0316" w:rsidRDefault="00833787" w:rsidP="00B86868">
            <w:pPr>
              <w:pStyle w:val="StandardOCAshurst"/>
              <w:keepNext/>
              <w:jc w:val="center"/>
              <w:rPr>
                <w:b/>
              </w:rPr>
            </w:pPr>
          </w:p>
        </w:tc>
        <w:tc>
          <w:tcPr>
            <w:tcW w:w="2782" w:type="dxa"/>
          </w:tcPr>
          <w:p w14:paraId="79D707EF" w14:textId="77777777" w:rsidR="00833787" w:rsidRPr="00CB0316" w:rsidRDefault="00833787" w:rsidP="00B86868">
            <w:pPr>
              <w:pStyle w:val="StandardOCAshurst"/>
              <w:keepNext/>
              <w:jc w:val="center"/>
              <w:rPr>
                <w:b/>
              </w:rPr>
            </w:pPr>
            <w:r w:rsidRPr="00CB0316">
              <w:rPr>
                <w:b/>
              </w:rPr>
              <w:t>Ashurst LLP</w:t>
            </w:r>
          </w:p>
          <w:p w14:paraId="4958585B" w14:textId="77777777" w:rsidR="00833787" w:rsidRPr="00CB0316" w:rsidRDefault="00833787" w:rsidP="00B86868">
            <w:pPr>
              <w:pStyle w:val="StandardOCAshurst"/>
              <w:keepNext/>
              <w:jc w:val="center"/>
            </w:pPr>
            <w:r w:rsidRPr="00CB0316">
              <w:t>London Fruit and Wool Exchange</w:t>
            </w:r>
          </w:p>
          <w:p w14:paraId="5D4270B3" w14:textId="77777777" w:rsidR="00833787" w:rsidRPr="00CB0316" w:rsidRDefault="00833787" w:rsidP="00B86868">
            <w:pPr>
              <w:pStyle w:val="StandardOCAshurst"/>
              <w:keepNext/>
              <w:jc w:val="center"/>
            </w:pPr>
            <w:r w:rsidRPr="00CB0316">
              <w:t>1 Duval Square</w:t>
            </w:r>
          </w:p>
          <w:p w14:paraId="58EA7478" w14:textId="77777777" w:rsidR="00833787" w:rsidRPr="00CB0316" w:rsidRDefault="00833787" w:rsidP="00B86868">
            <w:pPr>
              <w:pStyle w:val="StandardOCAshurst"/>
              <w:keepNext/>
              <w:jc w:val="center"/>
            </w:pPr>
            <w:r w:rsidRPr="00CB0316">
              <w:t xml:space="preserve">London </w:t>
            </w:r>
            <w:proofErr w:type="spellStart"/>
            <w:r w:rsidRPr="00CB0316">
              <w:t>E1</w:t>
            </w:r>
            <w:proofErr w:type="spellEnd"/>
            <w:r w:rsidRPr="00CB0316">
              <w:t xml:space="preserve"> </w:t>
            </w:r>
            <w:proofErr w:type="spellStart"/>
            <w:r w:rsidRPr="00CB0316">
              <w:t>6PW</w:t>
            </w:r>
            <w:proofErr w:type="spellEnd"/>
          </w:p>
          <w:p w14:paraId="3582F995" w14:textId="77777777" w:rsidR="00833787" w:rsidRPr="00CB0316" w:rsidRDefault="00833787" w:rsidP="00B86868">
            <w:pPr>
              <w:pStyle w:val="StandardOCAshurst"/>
              <w:keepNext/>
              <w:jc w:val="center"/>
            </w:pPr>
            <w:r w:rsidRPr="00CB0316">
              <w:t>United Kingdom</w:t>
            </w:r>
          </w:p>
          <w:p w14:paraId="7CADA8BC" w14:textId="77777777" w:rsidR="00833787" w:rsidRPr="00CB0316" w:rsidRDefault="00833787" w:rsidP="00B86868">
            <w:pPr>
              <w:pStyle w:val="StandardOCAshurst"/>
              <w:keepNext/>
              <w:jc w:val="center"/>
              <w:rPr>
                <w:i/>
              </w:rPr>
            </w:pPr>
          </w:p>
        </w:tc>
        <w:tc>
          <w:tcPr>
            <w:tcW w:w="2756" w:type="dxa"/>
          </w:tcPr>
          <w:p w14:paraId="2D2F2BCF" w14:textId="77777777" w:rsidR="00833787" w:rsidRPr="00CB0316" w:rsidRDefault="00833787" w:rsidP="00B86868">
            <w:pPr>
              <w:pStyle w:val="StandardOCAshurst"/>
              <w:keepNext/>
              <w:jc w:val="center"/>
              <w:rPr>
                <w:b/>
              </w:rPr>
            </w:pPr>
          </w:p>
        </w:tc>
      </w:tr>
      <w:tr w:rsidR="00125818" w:rsidRPr="00CB0316" w14:paraId="4E4F5478" w14:textId="77777777" w:rsidTr="00B86868">
        <w:tc>
          <w:tcPr>
            <w:tcW w:w="8306" w:type="dxa"/>
            <w:gridSpan w:val="3"/>
          </w:tcPr>
          <w:p w14:paraId="5D4229ED" w14:textId="77777777" w:rsidR="00833787" w:rsidRPr="00CB0316" w:rsidRDefault="00833787" w:rsidP="00B86868">
            <w:pPr>
              <w:pStyle w:val="NormalOCAshurst"/>
              <w:jc w:val="center"/>
              <w:rPr>
                <w:b/>
              </w:rPr>
            </w:pPr>
            <w:r w:rsidRPr="00CB0316">
              <w:rPr>
                <w:b/>
                <w:i/>
              </w:rPr>
              <w:t>In respect of Norwegian Securities:</w:t>
            </w:r>
          </w:p>
        </w:tc>
      </w:tr>
      <w:tr w:rsidR="00125818" w:rsidRPr="00CB0316" w14:paraId="2E7E554D" w14:textId="77777777" w:rsidTr="00B86868">
        <w:tc>
          <w:tcPr>
            <w:tcW w:w="2768" w:type="dxa"/>
          </w:tcPr>
          <w:p w14:paraId="54686499" w14:textId="77777777" w:rsidR="00833787" w:rsidRPr="00CB0316" w:rsidRDefault="00833787" w:rsidP="00B86868">
            <w:pPr>
              <w:pStyle w:val="StandardOCAshurst"/>
              <w:jc w:val="center"/>
              <w:rPr>
                <w:b/>
              </w:rPr>
            </w:pPr>
            <w:r w:rsidRPr="00CB0316">
              <w:rPr>
                <w:b/>
              </w:rPr>
              <w:t>Norwegian Programme Agent</w:t>
            </w:r>
          </w:p>
        </w:tc>
        <w:tc>
          <w:tcPr>
            <w:tcW w:w="2782" w:type="dxa"/>
          </w:tcPr>
          <w:p w14:paraId="43E815BA" w14:textId="77777777" w:rsidR="00833787" w:rsidRPr="00CB0316" w:rsidRDefault="00833787" w:rsidP="00B86868">
            <w:pPr>
              <w:pStyle w:val="NormalOCAshurst"/>
              <w:jc w:val="center"/>
              <w:rPr>
                <w:b/>
                <w:i/>
              </w:rPr>
            </w:pPr>
            <w:r w:rsidRPr="00CB0316">
              <w:rPr>
                <w:b/>
              </w:rPr>
              <w:t>Norwegian Registrar</w:t>
            </w:r>
          </w:p>
        </w:tc>
        <w:tc>
          <w:tcPr>
            <w:tcW w:w="2756" w:type="dxa"/>
          </w:tcPr>
          <w:p w14:paraId="399659BC" w14:textId="77777777" w:rsidR="00833787" w:rsidRPr="00CB0316" w:rsidRDefault="00833787" w:rsidP="00B86868">
            <w:pPr>
              <w:pStyle w:val="StandardOCAshurst"/>
              <w:jc w:val="center"/>
              <w:rPr>
                <w:b/>
              </w:rPr>
            </w:pPr>
            <w:r w:rsidRPr="00CB0316">
              <w:rPr>
                <w:b/>
              </w:rPr>
              <w:t>Legal Adviser to the Issuers in respect of Norwegian law</w:t>
            </w:r>
          </w:p>
          <w:p w14:paraId="57FD60FB" w14:textId="77777777" w:rsidR="00833787" w:rsidRPr="00CB0316" w:rsidRDefault="00833787" w:rsidP="00B86868">
            <w:pPr>
              <w:pStyle w:val="StandardOCAshurst"/>
              <w:jc w:val="center"/>
              <w:rPr>
                <w:b/>
              </w:rPr>
            </w:pPr>
          </w:p>
        </w:tc>
      </w:tr>
      <w:tr w:rsidR="00125818" w:rsidRPr="00CB0316" w14:paraId="676C5C77" w14:textId="77777777" w:rsidTr="00B86868">
        <w:tc>
          <w:tcPr>
            <w:tcW w:w="2768" w:type="dxa"/>
          </w:tcPr>
          <w:p w14:paraId="3F9B35D4" w14:textId="77777777" w:rsidR="00833787" w:rsidRPr="00CB0316" w:rsidRDefault="00833787" w:rsidP="00B86868">
            <w:pPr>
              <w:pStyle w:val="StandardOCAshurst"/>
              <w:jc w:val="center"/>
              <w:rPr>
                <w:b/>
                <w:lang w:val="da-DK"/>
              </w:rPr>
            </w:pPr>
            <w:r w:rsidRPr="00CB0316">
              <w:rPr>
                <w:b/>
                <w:lang w:val="da-DK"/>
              </w:rPr>
              <w:t>Skandinaviska Enskilda Banken AB (publ)</w:t>
            </w:r>
          </w:p>
          <w:p w14:paraId="406CCB1A" w14:textId="77777777" w:rsidR="00833787" w:rsidRPr="00CB0316" w:rsidRDefault="00833787" w:rsidP="00B86868">
            <w:pPr>
              <w:pStyle w:val="StandardOCAshurst"/>
              <w:jc w:val="center"/>
              <w:rPr>
                <w:lang w:val="da-DK"/>
              </w:rPr>
            </w:pPr>
            <w:r w:rsidRPr="00CB0316">
              <w:rPr>
                <w:lang w:val="da-DK"/>
              </w:rPr>
              <w:t>Oslo Branch</w:t>
            </w:r>
          </w:p>
          <w:p w14:paraId="28B86A0E" w14:textId="77777777" w:rsidR="00833787" w:rsidRPr="00CB0316" w:rsidRDefault="00833787" w:rsidP="00B86868">
            <w:pPr>
              <w:pStyle w:val="StandardOCAshurst"/>
              <w:jc w:val="center"/>
              <w:rPr>
                <w:lang w:val="da-DK"/>
              </w:rPr>
            </w:pPr>
            <w:r w:rsidRPr="00CB0316">
              <w:rPr>
                <w:lang w:val="da-DK"/>
              </w:rPr>
              <w:t>Investor Services</w:t>
            </w:r>
          </w:p>
          <w:p w14:paraId="45C96B1C" w14:textId="77777777" w:rsidR="00833787" w:rsidRPr="00CB0316" w:rsidRDefault="00833787" w:rsidP="00B86868">
            <w:pPr>
              <w:pStyle w:val="StandardOCAshurst"/>
              <w:jc w:val="center"/>
              <w:rPr>
                <w:lang w:val="da-DK"/>
              </w:rPr>
            </w:pPr>
            <w:r w:rsidRPr="00CB0316">
              <w:rPr>
                <w:lang w:val="da-DK"/>
              </w:rPr>
              <w:t>Filipstad Brygge 1</w:t>
            </w:r>
          </w:p>
          <w:p w14:paraId="5B1EEAB6" w14:textId="77777777" w:rsidR="00833787" w:rsidRPr="00CB0316" w:rsidRDefault="00833787" w:rsidP="00B86868">
            <w:pPr>
              <w:pStyle w:val="StandardOCAshurst"/>
              <w:jc w:val="center"/>
            </w:pPr>
            <w:r w:rsidRPr="00CB0316">
              <w:t>N-0252 Oslo</w:t>
            </w:r>
          </w:p>
          <w:p w14:paraId="4C1F2447" w14:textId="77777777" w:rsidR="00833787" w:rsidRPr="00CB0316" w:rsidRDefault="00833787" w:rsidP="00B86868">
            <w:pPr>
              <w:pStyle w:val="StandardOCAshurst"/>
              <w:jc w:val="center"/>
            </w:pPr>
            <w:r w:rsidRPr="00CB0316">
              <w:t>Norway</w:t>
            </w:r>
          </w:p>
          <w:p w14:paraId="61BFA1AA" w14:textId="77777777" w:rsidR="00833787" w:rsidRPr="00CB0316" w:rsidRDefault="00833787" w:rsidP="00B86868">
            <w:pPr>
              <w:pStyle w:val="StandardOCAshurst"/>
              <w:jc w:val="center"/>
              <w:rPr>
                <w:b/>
              </w:rPr>
            </w:pPr>
          </w:p>
        </w:tc>
        <w:tc>
          <w:tcPr>
            <w:tcW w:w="2782" w:type="dxa"/>
          </w:tcPr>
          <w:p w14:paraId="0FA9E9DA" w14:textId="77777777" w:rsidR="00833787" w:rsidRPr="00CB0316" w:rsidRDefault="00833787" w:rsidP="00B86868">
            <w:pPr>
              <w:pStyle w:val="StandardOCAshurst"/>
              <w:jc w:val="center"/>
              <w:rPr>
                <w:b/>
                <w:lang w:val="pt-BR"/>
              </w:rPr>
            </w:pPr>
            <w:proofErr w:type="spellStart"/>
            <w:r w:rsidRPr="00CB0316">
              <w:rPr>
                <w:b/>
                <w:lang w:val="pt-BR"/>
              </w:rPr>
              <w:t>Verdipapirsentralen</w:t>
            </w:r>
            <w:proofErr w:type="spellEnd"/>
            <w:r w:rsidRPr="00CB0316">
              <w:rPr>
                <w:b/>
                <w:lang w:val="pt-BR"/>
              </w:rPr>
              <w:t xml:space="preserve"> ASA</w:t>
            </w:r>
          </w:p>
          <w:p w14:paraId="047D03AD" w14:textId="77777777" w:rsidR="00833787" w:rsidRPr="00CB0316" w:rsidRDefault="00833787" w:rsidP="00B86868">
            <w:pPr>
              <w:pStyle w:val="StandardOCAshurst"/>
              <w:jc w:val="center"/>
              <w:rPr>
                <w:lang w:val="pt-BR"/>
              </w:rPr>
            </w:pPr>
            <w:r w:rsidRPr="00CB0316">
              <w:rPr>
                <w:lang w:val="pt-BR"/>
              </w:rPr>
              <w:t xml:space="preserve">Fred </w:t>
            </w:r>
            <w:proofErr w:type="spellStart"/>
            <w:r w:rsidRPr="00CB0316">
              <w:rPr>
                <w:lang w:val="pt-BR"/>
              </w:rPr>
              <w:t>Olsens</w:t>
            </w:r>
            <w:proofErr w:type="spellEnd"/>
            <w:r w:rsidRPr="00CB0316">
              <w:rPr>
                <w:lang w:val="pt-BR"/>
              </w:rPr>
              <w:t xml:space="preserve"> </w:t>
            </w:r>
            <w:proofErr w:type="spellStart"/>
            <w:r w:rsidRPr="00CB0316">
              <w:rPr>
                <w:lang w:val="pt-BR"/>
              </w:rPr>
              <w:t>gate</w:t>
            </w:r>
            <w:proofErr w:type="spellEnd"/>
            <w:r w:rsidRPr="00CB0316">
              <w:rPr>
                <w:lang w:val="pt-BR"/>
              </w:rPr>
              <w:t xml:space="preserve"> 1</w:t>
            </w:r>
          </w:p>
          <w:p w14:paraId="4B02AF28" w14:textId="77777777" w:rsidR="00833787" w:rsidRPr="00CB0316" w:rsidRDefault="00833787" w:rsidP="00B86868">
            <w:pPr>
              <w:pStyle w:val="StandardOCAshurst"/>
              <w:jc w:val="center"/>
              <w:rPr>
                <w:lang w:val="pt-BR"/>
              </w:rPr>
            </w:pPr>
            <w:r w:rsidRPr="00CB0316">
              <w:rPr>
                <w:lang w:val="pt-BR"/>
              </w:rPr>
              <w:t>N-0152 Oslo</w:t>
            </w:r>
          </w:p>
          <w:p w14:paraId="41066AEC" w14:textId="77777777" w:rsidR="00833787" w:rsidRPr="00CB0316" w:rsidRDefault="00833787" w:rsidP="00B86868">
            <w:pPr>
              <w:pStyle w:val="StandardOCAshurst"/>
              <w:jc w:val="center"/>
              <w:rPr>
                <w:lang w:val="pt-BR"/>
              </w:rPr>
            </w:pPr>
            <w:proofErr w:type="spellStart"/>
            <w:r w:rsidRPr="00CB0316">
              <w:rPr>
                <w:lang w:val="pt-BR"/>
              </w:rPr>
              <w:t>P.O</w:t>
            </w:r>
            <w:proofErr w:type="spellEnd"/>
            <w:r w:rsidRPr="00CB0316">
              <w:rPr>
                <w:lang w:val="pt-BR"/>
              </w:rPr>
              <w:t xml:space="preserve">. Box. 1174 </w:t>
            </w:r>
            <w:proofErr w:type="spellStart"/>
            <w:r w:rsidRPr="00CB0316">
              <w:rPr>
                <w:lang w:val="pt-BR"/>
              </w:rPr>
              <w:t>Sentrum</w:t>
            </w:r>
            <w:proofErr w:type="spellEnd"/>
          </w:p>
          <w:p w14:paraId="2E40ADF6" w14:textId="77777777" w:rsidR="00833787" w:rsidRPr="00CB0316" w:rsidRDefault="00833787" w:rsidP="00B86868">
            <w:pPr>
              <w:pStyle w:val="StandardOCAshurst"/>
              <w:jc w:val="center"/>
              <w:rPr>
                <w:lang w:val="pt-BR"/>
              </w:rPr>
            </w:pPr>
            <w:r w:rsidRPr="00CB0316">
              <w:rPr>
                <w:lang w:val="pt-BR"/>
              </w:rPr>
              <w:t>N-0107 Oslo</w:t>
            </w:r>
          </w:p>
          <w:p w14:paraId="025E8220" w14:textId="77777777" w:rsidR="00833787" w:rsidRPr="00CB0316" w:rsidRDefault="00833787" w:rsidP="00B86868">
            <w:pPr>
              <w:pStyle w:val="StandardOCAshurst"/>
              <w:jc w:val="center"/>
              <w:rPr>
                <w:lang w:val="it-IT"/>
              </w:rPr>
            </w:pPr>
            <w:proofErr w:type="spellStart"/>
            <w:r w:rsidRPr="00CB0316">
              <w:rPr>
                <w:lang w:val="it-IT"/>
              </w:rPr>
              <w:t>Norway</w:t>
            </w:r>
            <w:proofErr w:type="spellEnd"/>
          </w:p>
          <w:p w14:paraId="7EB2AB3C" w14:textId="77777777" w:rsidR="00833787" w:rsidRPr="00CB0316" w:rsidRDefault="00833787" w:rsidP="00B86868">
            <w:pPr>
              <w:pStyle w:val="NormalOCAshurst"/>
              <w:jc w:val="center"/>
              <w:rPr>
                <w:b/>
                <w:lang w:val="it-IT"/>
              </w:rPr>
            </w:pPr>
          </w:p>
        </w:tc>
        <w:tc>
          <w:tcPr>
            <w:tcW w:w="2756" w:type="dxa"/>
          </w:tcPr>
          <w:p w14:paraId="2760240C" w14:textId="77777777" w:rsidR="00833787" w:rsidRPr="00CB0316" w:rsidRDefault="00833787" w:rsidP="00B86868">
            <w:pPr>
              <w:pStyle w:val="StandardOCAshurst"/>
              <w:jc w:val="center"/>
              <w:rPr>
                <w:b/>
                <w:lang w:val="da-DK"/>
              </w:rPr>
            </w:pPr>
            <w:r w:rsidRPr="00CB0316">
              <w:rPr>
                <w:b/>
                <w:lang w:val="da-DK"/>
              </w:rPr>
              <w:t>Advokatfirmaet DLA Piper Norway DA</w:t>
            </w:r>
          </w:p>
          <w:p w14:paraId="2E53A585" w14:textId="77777777" w:rsidR="00833787" w:rsidRPr="00CB0316" w:rsidRDefault="00833787" w:rsidP="00B86868">
            <w:pPr>
              <w:pStyle w:val="StandardOCAshurst"/>
              <w:jc w:val="center"/>
              <w:rPr>
                <w:lang w:val="da-DK"/>
              </w:rPr>
            </w:pPr>
            <w:r w:rsidRPr="00CB0316">
              <w:rPr>
                <w:lang w:val="da-DK"/>
              </w:rPr>
              <w:t>Bryggegata 6,</w:t>
            </w:r>
          </w:p>
          <w:p w14:paraId="5A01ABE4" w14:textId="77777777" w:rsidR="00833787" w:rsidRPr="00CB0316" w:rsidRDefault="00833787" w:rsidP="00B86868">
            <w:pPr>
              <w:pStyle w:val="StandardOCAshurst"/>
              <w:jc w:val="center"/>
              <w:rPr>
                <w:lang w:val="pt-BR"/>
              </w:rPr>
            </w:pPr>
            <w:r w:rsidRPr="00CB0316">
              <w:rPr>
                <w:lang w:val="pt-BR"/>
              </w:rPr>
              <w:t>N-0250 Oslo</w:t>
            </w:r>
          </w:p>
          <w:p w14:paraId="0D2C3C19" w14:textId="77777777" w:rsidR="00833787" w:rsidRPr="00CB0316" w:rsidRDefault="00833787" w:rsidP="00B86868">
            <w:pPr>
              <w:pStyle w:val="StandardOCAshurst"/>
              <w:jc w:val="center"/>
              <w:rPr>
                <w:lang w:val="pt-BR"/>
              </w:rPr>
            </w:pPr>
            <w:proofErr w:type="spellStart"/>
            <w:r w:rsidRPr="00CB0316">
              <w:rPr>
                <w:lang w:val="pt-BR"/>
              </w:rPr>
              <w:t>P.O</w:t>
            </w:r>
            <w:proofErr w:type="spellEnd"/>
            <w:r w:rsidRPr="00CB0316">
              <w:rPr>
                <w:lang w:val="pt-BR"/>
              </w:rPr>
              <w:t xml:space="preserve">. Box 1364 </w:t>
            </w:r>
            <w:proofErr w:type="spellStart"/>
            <w:r w:rsidRPr="00CB0316">
              <w:rPr>
                <w:lang w:val="pt-BR"/>
              </w:rPr>
              <w:t>Vika</w:t>
            </w:r>
            <w:proofErr w:type="spellEnd"/>
          </w:p>
          <w:p w14:paraId="750A3EA1" w14:textId="77777777" w:rsidR="00833787" w:rsidRPr="00CB0316" w:rsidRDefault="00833787" w:rsidP="00B86868">
            <w:pPr>
              <w:pStyle w:val="StandardOCAshurst"/>
              <w:jc w:val="center"/>
            </w:pPr>
            <w:r w:rsidRPr="00CB0316">
              <w:t>N-0114 Oslo</w:t>
            </w:r>
          </w:p>
          <w:p w14:paraId="2511A57E" w14:textId="77777777" w:rsidR="00833787" w:rsidRPr="00CB0316" w:rsidRDefault="00833787" w:rsidP="00B86868">
            <w:pPr>
              <w:pStyle w:val="StandardOCAshurst"/>
              <w:jc w:val="center"/>
            </w:pPr>
            <w:r w:rsidRPr="00CB0316">
              <w:t>Norway</w:t>
            </w:r>
          </w:p>
          <w:p w14:paraId="3106A81E" w14:textId="77777777" w:rsidR="00833787" w:rsidRPr="00CB0316" w:rsidRDefault="00833787" w:rsidP="00B86868">
            <w:pPr>
              <w:pStyle w:val="StandardOCAshurst"/>
              <w:jc w:val="center"/>
              <w:rPr>
                <w:b/>
              </w:rPr>
            </w:pPr>
          </w:p>
        </w:tc>
      </w:tr>
      <w:tr w:rsidR="00125818" w:rsidRPr="00CB0316" w14:paraId="62A7EBBB" w14:textId="77777777" w:rsidTr="00B86868">
        <w:tc>
          <w:tcPr>
            <w:tcW w:w="8306" w:type="dxa"/>
            <w:gridSpan w:val="3"/>
          </w:tcPr>
          <w:p w14:paraId="43242BB4" w14:textId="77777777" w:rsidR="00833787" w:rsidRPr="00CB0316" w:rsidRDefault="00833787" w:rsidP="00B86868">
            <w:pPr>
              <w:pStyle w:val="StandardOCAshurst"/>
              <w:jc w:val="center"/>
              <w:rPr>
                <w:b/>
                <w:i/>
              </w:rPr>
            </w:pPr>
            <w:r w:rsidRPr="00CB0316">
              <w:rPr>
                <w:b/>
                <w:i/>
              </w:rPr>
              <w:t>In respect of Swedish Securities:</w:t>
            </w:r>
          </w:p>
          <w:p w14:paraId="5DAD7680" w14:textId="77777777" w:rsidR="00833787" w:rsidRPr="00CB0316" w:rsidRDefault="00833787" w:rsidP="00B86868">
            <w:pPr>
              <w:pStyle w:val="StandardOCAshurst"/>
              <w:jc w:val="center"/>
              <w:rPr>
                <w:b/>
              </w:rPr>
            </w:pPr>
          </w:p>
        </w:tc>
      </w:tr>
      <w:tr w:rsidR="00125818" w:rsidRPr="00CB0316" w14:paraId="566841DD" w14:textId="77777777" w:rsidTr="00B86868">
        <w:tc>
          <w:tcPr>
            <w:tcW w:w="2768" w:type="dxa"/>
          </w:tcPr>
          <w:p w14:paraId="5F0B5FF7" w14:textId="77777777" w:rsidR="00833787" w:rsidRPr="00CB0316" w:rsidRDefault="00833787" w:rsidP="00B86868">
            <w:pPr>
              <w:pStyle w:val="StandardOCAshurst"/>
              <w:jc w:val="center"/>
              <w:rPr>
                <w:b/>
              </w:rPr>
            </w:pPr>
            <w:r w:rsidRPr="00CB0316">
              <w:rPr>
                <w:b/>
              </w:rPr>
              <w:t>Swedish Programme Agent</w:t>
            </w:r>
          </w:p>
        </w:tc>
        <w:tc>
          <w:tcPr>
            <w:tcW w:w="2782" w:type="dxa"/>
          </w:tcPr>
          <w:p w14:paraId="526D6A4F" w14:textId="77777777" w:rsidR="00833787" w:rsidRPr="00CB0316" w:rsidRDefault="00833787" w:rsidP="00B86868">
            <w:pPr>
              <w:pStyle w:val="StandardOCAshurst"/>
              <w:jc w:val="center"/>
              <w:rPr>
                <w:b/>
              </w:rPr>
            </w:pPr>
            <w:r w:rsidRPr="00CB0316">
              <w:rPr>
                <w:b/>
              </w:rPr>
              <w:t>Swedish Registrar</w:t>
            </w:r>
          </w:p>
        </w:tc>
        <w:tc>
          <w:tcPr>
            <w:tcW w:w="2756" w:type="dxa"/>
          </w:tcPr>
          <w:p w14:paraId="4A9441E6" w14:textId="77777777" w:rsidR="00833787" w:rsidRPr="00CB0316" w:rsidRDefault="00833787" w:rsidP="00B86868">
            <w:pPr>
              <w:pStyle w:val="StandardOCAshurst"/>
              <w:jc w:val="center"/>
            </w:pPr>
            <w:r w:rsidRPr="00CB0316">
              <w:rPr>
                <w:b/>
              </w:rPr>
              <w:t>Legal Adviser to the Issuers</w:t>
            </w:r>
          </w:p>
          <w:p w14:paraId="34B0EF4B" w14:textId="77777777" w:rsidR="00833787" w:rsidRPr="00CB0316" w:rsidRDefault="00833787" w:rsidP="00B86868">
            <w:pPr>
              <w:pStyle w:val="StandardOCAshurst"/>
              <w:jc w:val="center"/>
              <w:rPr>
                <w:i/>
              </w:rPr>
            </w:pPr>
            <w:r w:rsidRPr="00CB0316">
              <w:rPr>
                <w:i/>
              </w:rPr>
              <w:t>in respect of Swedish law</w:t>
            </w:r>
          </w:p>
          <w:p w14:paraId="02D8E8D1" w14:textId="77777777" w:rsidR="00833787" w:rsidRPr="00CB0316" w:rsidRDefault="00833787" w:rsidP="00B86868">
            <w:pPr>
              <w:pStyle w:val="StandardOCAshurst"/>
              <w:jc w:val="center"/>
              <w:rPr>
                <w:b/>
              </w:rPr>
            </w:pPr>
          </w:p>
        </w:tc>
      </w:tr>
      <w:tr w:rsidR="00125818" w:rsidRPr="00CB0316" w14:paraId="1ECEC0B4" w14:textId="77777777" w:rsidTr="00B86868">
        <w:tc>
          <w:tcPr>
            <w:tcW w:w="2768" w:type="dxa"/>
          </w:tcPr>
          <w:p w14:paraId="78B38E01" w14:textId="77777777" w:rsidR="00833787" w:rsidRPr="00CB0316" w:rsidRDefault="00833787" w:rsidP="00B86868">
            <w:pPr>
              <w:pStyle w:val="StandardOCAshurst"/>
              <w:jc w:val="center"/>
              <w:rPr>
                <w:b/>
                <w:lang w:val="da-DK"/>
              </w:rPr>
            </w:pPr>
            <w:r w:rsidRPr="00CB0316">
              <w:rPr>
                <w:b/>
                <w:lang w:val="da-DK"/>
              </w:rPr>
              <w:t>Skandinaviska Enskilda Banken AB (publ)</w:t>
            </w:r>
          </w:p>
          <w:p w14:paraId="1B5BC197" w14:textId="77777777" w:rsidR="00833787" w:rsidRPr="00CB0316" w:rsidRDefault="00833787" w:rsidP="00B86868">
            <w:pPr>
              <w:pStyle w:val="StandardOCAshurst"/>
              <w:jc w:val="center"/>
              <w:rPr>
                <w:lang w:val="da-DK"/>
              </w:rPr>
            </w:pPr>
            <w:r w:rsidRPr="00CB0316">
              <w:rPr>
                <w:lang w:val="da-DK"/>
              </w:rPr>
              <w:t>Investor Services, A-S12</w:t>
            </w:r>
          </w:p>
          <w:p w14:paraId="2A1E6FD6" w14:textId="77777777" w:rsidR="00833787" w:rsidRPr="00CB0316" w:rsidRDefault="00833787" w:rsidP="00B86868">
            <w:pPr>
              <w:pStyle w:val="StandardOCAshurst"/>
              <w:jc w:val="center"/>
              <w:rPr>
                <w:lang w:val="da-DK"/>
              </w:rPr>
            </w:pPr>
            <w:r w:rsidRPr="00CB0316">
              <w:rPr>
                <w:lang w:val="da-DK"/>
              </w:rPr>
              <w:t xml:space="preserve">Råsta Strandväg 5 </w:t>
            </w:r>
          </w:p>
          <w:p w14:paraId="6CB51E23" w14:textId="77777777" w:rsidR="00833787" w:rsidRPr="00CB0316" w:rsidRDefault="00833787" w:rsidP="00B86868">
            <w:pPr>
              <w:pStyle w:val="StandardOCAshurst"/>
              <w:jc w:val="center"/>
            </w:pPr>
            <w:r w:rsidRPr="00CB0316">
              <w:t xml:space="preserve">SE-169 79, Solna </w:t>
            </w:r>
          </w:p>
          <w:p w14:paraId="7B5203CC" w14:textId="77777777" w:rsidR="00833787" w:rsidRPr="00CB0316" w:rsidRDefault="00833787" w:rsidP="00B86868">
            <w:pPr>
              <w:pStyle w:val="StandardOCAshurst"/>
              <w:jc w:val="center"/>
            </w:pPr>
            <w:r w:rsidRPr="00CB0316">
              <w:t>Sweden</w:t>
            </w:r>
          </w:p>
          <w:p w14:paraId="14689648" w14:textId="77777777" w:rsidR="00833787" w:rsidRPr="00CB0316" w:rsidRDefault="00833787" w:rsidP="00B86868">
            <w:pPr>
              <w:pStyle w:val="StandardOCAshurst"/>
              <w:jc w:val="center"/>
              <w:rPr>
                <w:b/>
              </w:rPr>
            </w:pPr>
          </w:p>
        </w:tc>
        <w:tc>
          <w:tcPr>
            <w:tcW w:w="2782" w:type="dxa"/>
          </w:tcPr>
          <w:p w14:paraId="0B5A14A9" w14:textId="77777777" w:rsidR="00833787" w:rsidRPr="00CB0316" w:rsidRDefault="00833787" w:rsidP="00B86868">
            <w:pPr>
              <w:pStyle w:val="StandardOCAshurst"/>
              <w:jc w:val="center"/>
              <w:rPr>
                <w:lang w:val="de-DE"/>
              </w:rPr>
            </w:pPr>
            <w:proofErr w:type="spellStart"/>
            <w:r w:rsidRPr="00CB0316">
              <w:rPr>
                <w:b/>
                <w:lang w:val="de-DE"/>
              </w:rPr>
              <w:t>Euroclear</w:t>
            </w:r>
            <w:proofErr w:type="spellEnd"/>
            <w:r w:rsidRPr="00CB0316">
              <w:rPr>
                <w:b/>
                <w:lang w:val="de-DE"/>
              </w:rPr>
              <w:t xml:space="preserve"> </w:t>
            </w:r>
            <w:proofErr w:type="spellStart"/>
            <w:r w:rsidRPr="00CB0316">
              <w:rPr>
                <w:b/>
                <w:lang w:val="de-DE"/>
              </w:rPr>
              <w:t>Sweden</w:t>
            </w:r>
            <w:proofErr w:type="spellEnd"/>
            <w:r w:rsidRPr="00CB0316">
              <w:rPr>
                <w:b/>
                <w:lang w:val="de-DE"/>
              </w:rPr>
              <w:t xml:space="preserve"> AB</w:t>
            </w:r>
          </w:p>
          <w:p w14:paraId="19D75C55" w14:textId="77777777" w:rsidR="00833787" w:rsidRPr="00CB0316" w:rsidRDefault="00833787" w:rsidP="00B86868">
            <w:pPr>
              <w:pStyle w:val="StandardOCAshurst"/>
              <w:jc w:val="center"/>
              <w:rPr>
                <w:lang w:val="de-DE"/>
              </w:rPr>
            </w:pPr>
            <w:proofErr w:type="spellStart"/>
            <w:r w:rsidRPr="00CB0316">
              <w:rPr>
                <w:lang w:val="de-DE"/>
              </w:rPr>
              <w:t>Klarabergsviadukten</w:t>
            </w:r>
            <w:proofErr w:type="spellEnd"/>
            <w:r w:rsidRPr="00CB0316">
              <w:rPr>
                <w:lang w:val="de-DE"/>
              </w:rPr>
              <w:t xml:space="preserve"> 63,</w:t>
            </w:r>
          </w:p>
          <w:p w14:paraId="75FDE08C" w14:textId="77777777" w:rsidR="00833787" w:rsidRPr="00CB0316" w:rsidRDefault="00833787" w:rsidP="00B86868">
            <w:pPr>
              <w:pStyle w:val="StandardOCAshurst"/>
              <w:jc w:val="center"/>
              <w:rPr>
                <w:lang w:val="de-DE"/>
              </w:rPr>
            </w:pPr>
            <w:r w:rsidRPr="00CB0316">
              <w:rPr>
                <w:lang w:val="de-DE"/>
              </w:rPr>
              <w:t>Box 191</w:t>
            </w:r>
          </w:p>
          <w:p w14:paraId="279C597D" w14:textId="77777777" w:rsidR="00833787" w:rsidRPr="00CB0316" w:rsidRDefault="00833787" w:rsidP="00B86868">
            <w:pPr>
              <w:pStyle w:val="StandardOCAshurst"/>
              <w:jc w:val="center"/>
            </w:pPr>
            <w:r w:rsidRPr="00CB0316">
              <w:t>SE-101 23 Stockholm</w:t>
            </w:r>
          </w:p>
          <w:p w14:paraId="3421E95A" w14:textId="77777777" w:rsidR="00833787" w:rsidRPr="00CB0316" w:rsidRDefault="00833787" w:rsidP="00B86868">
            <w:pPr>
              <w:pStyle w:val="StandardOCAshurst"/>
              <w:jc w:val="center"/>
            </w:pPr>
            <w:r w:rsidRPr="00CB0316">
              <w:t>Sweden</w:t>
            </w:r>
          </w:p>
          <w:p w14:paraId="1401EC7A" w14:textId="77777777" w:rsidR="00833787" w:rsidRPr="00CB0316" w:rsidRDefault="00833787" w:rsidP="00B86868">
            <w:pPr>
              <w:pStyle w:val="StandardOCAshurst"/>
              <w:jc w:val="center"/>
              <w:rPr>
                <w:b/>
              </w:rPr>
            </w:pPr>
          </w:p>
        </w:tc>
        <w:tc>
          <w:tcPr>
            <w:tcW w:w="2756" w:type="dxa"/>
          </w:tcPr>
          <w:p w14:paraId="28D9C270" w14:textId="77777777" w:rsidR="00833787" w:rsidRPr="00CB0316" w:rsidRDefault="00833787" w:rsidP="00B86868">
            <w:pPr>
              <w:pStyle w:val="StandardOCAshurst"/>
              <w:jc w:val="center"/>
              <w:rPr>
                <w:b/>
                <w:lang w:val="da-DK"/>
              </w:rPr>
            </w:pPr>
            <w:r w:rsidRPr="00CB0316">
              <w:rPr>
                <w:b/>
                <w:lang w:val="da-DK"/>
              </w:rPr>
              <w:t>AG Advokat KB</w:t>
            </w:r>
          </w:p>
          <w:p w14:paraId="45050C6B" w14:textId="77777777" w:rsidR="00833787" w:rsidRPr="00CB0316" w:rsidRDefault="00833787" w:rsidP="00B86868">
            <w:pPr>
              <w:pStyle w:val="StandardOCAshurst"/>
              <w:jc w:val="center"/>
              <w:rPr>
                <w:bCs/>
                <w:lang w:val="da-DK"/>
              </w:rPr>
            </w:pPr>
            <w:r w:rsidRPr="00CB0316">
              <w:rPr>
                <w:bCs/>
                <w:lang w:val="da-DK"/>
              </w:rPr>
              <w:t>Regeringsgatan 38</w:t>
            </w:r>
          </w:p>
          <w:p w14:paraId="6DBA3484" w14:textId="77777777" w:rsidR="00833787" w:rsidRPr="00CB0316" w:rsidRDefault="00833787" w:rsidP="00B86868">
            <w:pPr>
              <w:pStyle w:val="StandardOCAshurst"/>
              <w:jc w:val="center"/>
              <w:rPr>
                <w:bCs/>
                <w:lang w:val="da-DK"/>
              </w:rPr>
            </w:pPr>
            <w:r w:rsidRPr="00CB0316">
              <w:rPr>
                <w:bCs/>
                <w:lang w:val="da-DK"/>
              </w:rPr>
              <w:t>Box 3124</w:t>
            </w:r>
          </w:p>
          <w:p w14:paraId="1B7DAF61" w14:textId="77777777" w:rsidR="00833787" w:rsidRPr="00CB0316" w:rsidRDefault="00833787" w:rsidP="00B86868">
            <w:pPr>
              <w:pStyle w:val="StandardOCAshurst"/>
              <w:jc w:val="center"/>
              <w:rPr>
                <w:bCs/>
              </w:rPr>
            </w:pPr>
            <w:r w:rsidRPr="00CB0316">
              <w:rPr>
                <w:bCs/>
              </w:rPr>
              <w:t>SE-103 62</w:t>
            </w:r>
          </w:p>
          <w:p w14:paraId="3FBDE6CB" w14:textId="77777777" w:rsidR="00833787" w:rsidRPr="00CB0316" w:rsidRDefault="00833787" w:rsidP="00B86868">
            <w:pPr>
              <w:pStyle w:val="StandardOCAshurst"/>
              <w:jc w:val="center"/>
              <w:rPr>
                <w:bCs/>
              </w:rPr>
            </w:pPr>
            <w:r w:rsidRPr="00CB0316">
              <w:rPr>
                <w:bCs/>
              </w:rPr>
              <w:t>Stockholm</w:t>
            </w:r>
          </w:p>
          <w:p w14:paraId="734BC951" w14:textId="77777777" w:rsidR="00833787" w:rsidRPr="00CB0316" w:rsidRDefault="00833787" w:rsidP="00B86868">
            <w:pPr>
              <w:pStyle w:val="StandardOCAshurst"/>
              <w:jc w:val="center"/>
              <w:rPr>
                <w:bCs/>
              </w:rPr>
            </w:pPr>
            <w:r w:rsidRPr="00CB0316">
              <w:rPr>
                <w:bCs/>
              </w:rPr>
              <w:t>Sweden</w:t>
            </w:r>
          </w:p>
          <w:p w14:paraId="3D7724E2" w14:textId="77777777" w:rsidR="00833787" w:rsidRPr="00CB0316" w:rsidRDefault="00833787" w:rsidP="00B86868">
            <w:pPr>
              <w:pStyle w:val="StandardOCAshurst"/>
              <w:jc w:val="center"/>
              <w:rPr>
                <w:b/>
              </w:rPr>
            </w:pPr>
          </w:p>
        </w:tc>
      </w:tr>
      <w:tr w:rsidR="00125818" w:rsidRPr="00CB0316" w14:paraId="747780F7" w14:textId="77777777" w:rsidTr="00B86868">
        <w:tc>
          <w:tcPr>
            <w:tcW w:w="8306" w:type="dxa"/>
            <w:gridSpan w:val="3"/>
          </w:tcPr>
          <w:p w14:paraId="7CC3819E" w14:textId="77777777" w:rsidR="00833787" w:rsidRPr="00CB0316" w:rsidRDefault="00833787" w:rsidP="00B86868">
            <w:pPr>
              <w:pStyle w:val="StandardOCAshurst"/>
              <w:jc w:val="center"/>
              <w:rPr>
                <w:b/>
                <w:i/>
              </w:rPr>
            </w:pPr>
            <w:r w:rsidRPr="00CB0316">
              <w:rPr>
                <w:b/>
                <w:i/>
              </w:rPr>
              <w:t>In respect of Finnish Securities:</w:t>
            </w:r>
          </w:p>
          <w:p w14:paraId="73508E7F" w14:textId="77777777" w:rsidR="00833787" w:rsidRPr="00CB0316" w:rsidRDefault="00833787" w:rsidP="00B86868">
            <w:pPr>
              <w:pStyle w:val="StandardOCAshurst"/>
              <w:jc w:val="center"/>
              <w:rPr>
                <w:b/>
              </w:rPr>
            </w:pPr>
          </w:p>
        </w:tc>
      </w:tr>
      <w:tr w:rsidR="00125818" w:rsidRPr="00CB0316" w14:paraId="2A9C0C79" w14:textId="77777777" w:rsidTr="00B86868">
        <w:tc>
          <w:tcPr>
            <w:tcW w:w="2768" w:type="dxa"/>
          </w:tcPr>
          <w:p w14:paraId="279B740D" w14:textId="77777777" w:rsidR="00833787" w:rsidRPr="00CB0316" w:rsidRDefault="00833787" w:rsidP="00B86868">
            <w:pPr>
              <w:pStyle w:val="StandardOCAshurst"/>
              <w:jc w:val="center"/>
              <w:rPr>
                <w:b/>
              </w:rPr>
            </w:pPr>
            <w:r w:rsidRPr="00CB0316">
              <w:rPr>
                <w:b/>
              </w:rPr>
              <w:t>Finnish Programme Agent</w:t>
            </w:r>
          </w:p>
        </w:tc>
        <w:tc>
          <w:tcPr>
            <w:tcW w:w="2782" w:type="dxa"/>
          </w:tcPr>
          <w:p w14:paraId="11BFD4FE" w14:textId="77777777" w:rsidR="00833787" w:rsidRPr="00CB0316" w:rsidRDefault="00833787" w:rsidP="00B86868">
            <w:pPr>
              <w:pStyle w:val="StandardOCAshurst"/>
              <w:jc w:val="center"/>
              <w:rPr>
                <w:b/>
              </w:rPr>
            </w:pPr>
            <w:r w:rsidRPr="00CB0316">
              <w:rPr>
                <w:b/>
              </w:rPr>
              <w:t>Finnish Registrar</w:t>
            </w:r>
          </w:p>
        </w:tc>
        <w:tc>
          <w:tcPr>
            <w:tcW w:w="2756" w:type="dxa"/>
          </w:tcPr>
          <w:p w14:paraId="075AC594" w14:textId="77777777" w:rsidR="00833787" w:rsidRPr="00CB0316" w:rsidRDefault="00833787" w:rsidP="00B86868">
            <w:pPr>
              <w:pStyle w:val="StandardOCAshurst"/>
              <w:jc w:val="center"/>
            </w:pPr>
            <w:r w:rsidRPr="00CB0316">
              <w:rPr>
                <w:b/>
              </w:rPr>
              <w:t>Legal Advisers to the Issuers</w:t>
            </w:r>
          </w:p>
          <w:p w14:paraId="405A862C" w14:textId="77777777" w:rsidR="00833787" w:rsidRPr="00CB0316" w:rsidRDefault="00833787" w:rsidP="00B86868">
            <w:pPr>
              <w:pStyle w:val="StandardOCAshurst"/>
              <w:jc w:val="center"/>
              <w:rPr>
                <w:i/>
              </w:rPr>
            </w:pPr>
            <w:r w:rsidRPr="00CB0316">
              <w:rPr>
                <w:i/>
              </w:rPr>
              <w:t>in respect of Finnish law</w:t>
            </w:r>
          </w:p>
          <w:p w14:paraId="6BDA23CB" w14:textId="77777777" w:rsidR="00833787" w:rsidRPr="00CB0316" w:rsidRDefault="00833787" w:rsidP="00B86868">
            <w:pPr>
              <w:pStyle w:val="StandardOCAshurst"/>
              <w:jc w:val="center"/>
              <w:rPr>
                <w:b/>
              </w:rPr>
            </w:pPr>
          </w:p>
        </w:tc>
      </w:tr>
      <w:tr w:rsidR="00125818" w:rsidRPr="00CB0316" w14:paraId="4589C404" w14:textId="77777777" w:rsidTr="00B86868">
        <w:tc>
          <w:tcPr>
            <w:tcW w:w="2768" w:type="dxa"/>
          </w:tcPr>
          <w:p w14:paraId="3F973CD2" w14:textId="77777777" w:rsidR="00833787" w:rsidRPr="00CB0316" w:rsidRDefault="00833787" w:rsidP="00B86868">
            <w:pPr>
              <w:pStyle w:val="StandardOCAshurst"/>
              <w:jc w:val="center"/>
              <w:rPr>
                <w:b/>
                <w:lang w:val="de-DE"/>
              </w:rPr>
            </w:pPr>
            <w:proofErr w:type="spellStart"/>
            <w:r w:rsidRPr="00CB0316">
              <w:rPr>
                <w:b/>
                <w:lang w:val="de-DE"/>
              </w:rPr>
              <w:t>Skandinaviska</w:t>
            </w:r>
            <w:proofErr w:type="spellEnd"/>
            <w:r w:rsidRPr="00CB0316">
              <w:rPr>
                <w:b/>
                <w:lang w:val="de-DE"/>
              </w:rPr>
              <w:t xml:space="preserve"> </w:t>
            </w:r>
            <w:proofErr w:type="spellStart"/>
            <w:r w:rsidRPr="00CB0316">
              <w:rPr>
                <w:b/>
                <w:lang w:val="de-DE"/>
              </w:rPr>
              <w:t>Enskilda</w:t>
            </w:r>
            <w:proofErr w:type="spellEnd"/>
            <w:r w:rsidRPr="00CB0316">
              <w:rPr>
                <w:b/>
                <w:lang w:val="de-DE"/>
              </w:rPr>
              <w:t xml:space="preserve"> Banken AB (</w:t>
            </w:r>
            <w:proofErr w:type="spellStart"/>
            <w:r w:rsidRPr="00CB0316">
              <w:rPr>
                <w:b/>
                <w:lang w:val="de-DE"/>
              </w:rPr>
              <w:t>publ</w:t>
            </w:r>
            <w:proofErr w:type="spellEnd"/>
            <w:r w:rsidRPr="00CB0316">
              <w:rPr>
                <w:b/>
                <w:lang w:val="de-DE"/>
              </w:rPr>
              <w:t>)</w:t>
            </w:r>
          </w:p>
          <w:p w14:paraId="28052D57" w14:textId="77777777" w:rsidR="00833787" w:rsidRPr="00CB0316" w:rsidRDefault="00833787" w:rsidP="00B86868">
            <w:pPr>
              <w:pStyle w:val="StandardOCAshurst"/>
              <w:jc w:val="center"/>
            </w:pPr>
            <w:r w:rsidRPr="00CB0316">
              <w:t>Helsinki Branch</w:t>
            </w:r>
          </w:p>
          <w:p w14:paraId="69A92F68" w14:textId="77777777" w:rsidR="00833787" w:rsidRPr="00CB0316" w:rsidRDefault="00833787" w:rsidP="00B86868">
            <w:pPr>
              <w:pStyle w:val="StandardOCAshurst"/>
              <w:jc w:val="center"/>
            </w:pPr>
            <w:r w:rsidRPr="00CB0316">
              <w:t xml:space="preserve"> Investor Services </w:t>
            </w:r>
            <w:proofErr w:type="spellStart"/>
            <w:r w:rsidRPr="00CB0316">
              <w:t>Eteläesplanadi</w:t>
            </w:r>
            <w:proofErr w:type="spellEnd"/>
            <w:r w:rsidRPr="00CB0316">
              <w:t xml:space="preserve"> 18 </w:t>
            </w:r>
          </w:p>
          <w:p w14:paraId="1A8C8997" w14:textId="77777777" w:rsidR="00833787" w:rsidRPr="00CB0316" w:rsidRDefault="00833787" w:rsidP="00B86868">
            <w:pPr>
              <w:pStyle w:val="StandardOCAshurst"/>
              <w:jc w:val="center"/>
            </w:pPr>
            <w:r w:rsidRPr="00CB0316">
              <w:t>FI-00130 Helsinki</w:t>
            </w:r>
          </w:p>
          <w:p w14:paraId="1C873369" w14:textId="77777777" w:rsidR="00833787" w:rsidRPr="00CB0316" w:rsidRDefault="00833787" w:rsidP="00B86868">
            <w:pPr>
              <w:pStyle w:val="StandardOCAshurst"/>
              <w:jc w:val="center"/>
            </w:pPr>
            <w:r w:rsidRPr="00CB0316">
              <w:t>Finland</w:t>
            </w:r>
          </w:p>
          <w:p w14:paraId="09CBF68D" w14:textId="77777777" w:rsidR="00833787" w:rsidRPr="00CB0316" w:rsidRDefault="00833787" w:rsidP="00B86868">
            <w:pPr>
              <w:pStyle w:val="StandardOCAshurst"/>
              <w:jc w:val="center"/>
            </w:pPr>
          </w:p>
        </w:tc>
        <w:tc>
          <w:tcPr>
            <w:tcW w:w="2782" w:type="dxa"/>
          </w:tcPr>
          <w:p w14:paraId="70BE238F" w14:textId="77777777" w:rsidR="00833787" w:rsidRPr="00CB0316" w:rsidRDefault="00833787" w:rsidP="00B86868">
            <w:pPr>
              <w:pStyle w:val="StandardOCAshurst"/>
              <w:jc w:val="center"/>
              <w:rPr>
                <w:lang w:val="de-DE"/>
              </w:rPr>
            </w:pPr>
            <w:proofErr w:type="spellStart"/>
            <w:r w:rsidRPr="00CB0316">
              <w:rPr>
                <w:b/>
                <w:lang w:val="de-DE"/>
              </w:rPr>
              <w:t>Euroclear</w:t>
            </w:r>
            <w:proofErr w:type="spellEnd"/>
            <w:r w:rsidRPr="00CB0316">
              <w:rPr>
                <w:b/>
                <w:lang w:val="de-DE"/>
              </w:rPr>
              <w:t xml:space="preserve"> </w:t>
            </w:r>
            <w:proofErr w:type="spellStart"/>
            <w:r w:rsidRPr="00CB0316">
              <w:rPr>
                <w:b/>
                <w:lang w:val="de-DE"/>
              </w:rPr>
              <w:t>Finland</w:t>
            </w:r>
            <w:proofErr w:type="spellEnd"/>
            <w:r w:rsidRPr="00CB0316">
              <w:rPr>
                <w:b/>
                <w:lang w:val="de-DE"/>
              </w:rPr>
              <w:t xml:space="preserve"> Oy</w:t>
            </w:r>
          </w:p>
          <w:p w14:paraId="496728D3" w14:textId="77777777" w:rsidR="00833787" w:rsidRPr="00CB0316" w:rsidRDefault="00833787" w:rsidP="00B86868">
            <w:pPr>
              <w:pStyle w:val="StandardOCAshurst"/>
              <w:jc w:val="center"/>
              <w:rPr>
                <w:lang w:val="de-DE"/>
              </w:rPr>
            </w:pPr>
            <w:proofErr w:type="spellStart"/>
            <w:r w:rsidRPr="00CB0316">
              <w:rPr>
                <w:lang w:val="de-DE"/>
              </w:rPr>
              <w:t>Urho</w:t>
            </w:r>
            <w:proofErr w:type="spellEnd"/>
            <w:r w:rsidRPr="00CB0316">
              <w:rPr>
                <w:lang w:val="de-DE"/>
              </w:rPr>
              <w:t xml:space="preserve"> </w:t>
            </w:r>
            <w:proofErr w:type="spellStart"/>
            <w:r w:rsidRPr="00CB0316">
              <w:rPr>
                <w:lang w:val="de-DE"/>
              </w:rPr>
              <w:t>Kekkosen</w:t>
            </w:r>
            <w:proofErr w:type="spellEnd"/>
            <w:r w:rsidRPr="00CB0316">
              <w:rPr>
                <w:lang w:val="de-DE"/>
              </w:rPr>
              <w:t xml:space="preserve"> </w:t>
            </w:r>
            <w:proofErr w:type="spellStart"/>
            <w:r w:rsidRPr="00CB0316">
              <w:rPr>
                <w:lang w:val="de-DE"/>
              </w:rPr>
              <w:t>katu</w:t>
            </w:r>
            <w:proofErr w:type="spellEnd"/>
            <w:r w:rsidRPr="00CB0316">
              <w:rPr>
                <w:lang w:val="de-DE"/>
              </w:rPr>
              <w:t xml:space="preserve"> 5 C</w:t>
            </w:r>
          </w:p>
          <w:p w14:paraId="1595F481" w14:textId="77777777" w:rsidR="00833787" w:rsidRPr="00CB0316" w:rsidRDefault="00833787" w:rsidP="00B86868">
            <w:pPr>
              <w:pStyle w:val="StandardOCAshurst"/>
              <w:jc w:val="center"/>
            </w:pPr>
            <w:r w:rsidRPr="00CB0316">
              <w:t>00100 Helsinki</w:t>
            </w:r>
          </w:p>
          <w:p w14:paraId="34D1C823" w14:textId="77777777" w:rsidR="00833787" w:rsidRPr="00CB0316" w:rsidRDefault="00833787" w:rsidP="00B86868">
            <w:pPr>
              <w:pStyle w:val="StandardOCAshurst"/>
              <w:jc w:val="center"/>
            </w:pPr>
            <w:r w:rsidRPr="00CB0316">
              <w:t>Finland</w:t>
            </w:r>
          </w:p>
          <w:p w14:paraId="6EF7C74B" w14:textId="77777777" w:rsidR="00833787" w:rsidRPr="00CB0316" w:rsidRDefault="00833787" w:rsidP="00B86868">
            <w:pPr>
              <w:pStyle w:val="StandardOCAshurst"/>
              <w:jc w:val="center"/>
              <w:rPr>
                <w:b/>
              </w:rPr>
            </w:pPr>
          </w:p>
        </w:tc>
        <w:tc>
          <w:tcPr>
            <w:tcW w:w="2756" w:type="dxa"/>
          </w:tcPr>
          <w:p w14:paraId="32A58D9F" w14:textId="77777777" w:rsidR="00833787" w:rsidRPr="00CB0316" w:rsidRDefault="00833787" w:rsidP="00B86868">
            <w:pPr>
              <w:pStyle w:val="StandardOCAshurst"/>
              <w:jc w:val="center"/>
              <w:rPr>
                <w:b/>
              </w:rPr>
            </w:pPr>
            <w:proofErr w:type="spellStart"/>
            <w:r w:rsidRPr="00CB0316">
              <w:rPr>
                <w:b/>
              </w:rPr>
              <w:t>Waselius</w:t>
            </w:r>
            <w:proofErr w:type="spellEnd"/>
            <w:r w:rsidRPr="00CB0316">
              <w:rPr>
                <w:b/>
              </w:rPr>
              <w:t xml:space="preserve"> &amp; </w:t>
            </w:r>
            <w:proofErr w:type="spellStart"/>
            <w:r w:rsidRPr="00CB0316">
              <w:rPr>
                <w:b/>
              </w:rPr>
              <w:t>Wist</w:t>
            </w:r>
            <w:proofErr w:type="spellEnd"/>
          </w:p>
          <w:p w14:paraId="1436CC87" w14:textId="77777777" w:rsidR="00833787" w:rsidRPr="00CB0316" w:rsidRDefault="00833787" w:rsidP="00B86868">
            <w:pPr>
              <w:pStyle w:val="StandardOCAshurst"/>
              <w:jc w:val="center"/>
            </w:pPr>
            <w:proofErr w:type="spellStart"/>
            <w:r w:rsidRPr="00CB0316">
              <w:t>Eteläesplanadi</w:t>
            </w:r>
            <w:proofErr w:type="spellEnd"/>
            <w:r w:rsidRPr="00CB0316">
              <w:t xml:space="preserve"> 24 A</w:t>
            </w:r>
          </w:p>
          <w:p w14:paraId="155120A0" w14:textId="77777777" w:rsidR="00833787" w:rsidRPr="00CB0316" w:rsidRDefault="00833787" w:rsidP="00B86868">
            <w:pPr>
              <w:pStyle w:val="StandardOCAshurst"/>
              <w:jc w:val="center"/>
            </w:pPr>
            <w:r w:rsidRPr="00CB0316">
              <w:t>00130 Helsinki</w:t>
            </w:r>
          </w:p>
          <w:p w14:paraId="645D5BD6" w14:textId="77777777" w:rsidR="00833787" w:rsidRPr="00CB0316" w:rsidRDefault="00833787" w:rsidP="00B86868">
            <w:pPr>
              <w:pStyle w:val="StandardOCAshurst"/>
              <w:jc w:val="center"/>
            </w:pPr>
            <w:r w:rsidRPr="00CB0316">
              <w:t>Finland</w:t>
            </w:r>
          </w:p>
          <w:p w14:paraId="6C99060B" w14:textId="77777777" w:rsidR="00833787" w:rsidRPr="00CB0316" w:rsidRDefault="00833787" w:rsidP="00B86868">
            <w:pPr>
              <w:pStyle w:val="StandardOCAshurst"/>
              <w:jc w:val="center"/>
              <w:rPr>
                <w:b/>
              </w:rPr>
            </w:pPr>
          </w:p>
        </w:tc>
      </w:tr>
      <w:tr w:rsidR="00125818" w:rsidRPr="00CB0316" w14:paraId="13D01FAC" w14:textId="77777777" w:rsidTr="00B86868">
        <w:tc>
          <w:tcPr>
            <w:tcW w:w="2768" w:type="dxa"/>
          </w:tcPr>
          <w:p w14:paraId="51319635" w14:textId="77777777" w:rsidR="00833787" w:rsidRPr="00CB0316" w:rsidRDefault="00833787" w:rsidP="00B86868">
            <w:pPr>
              <w:pStyle w:val="StandardOCAshurst"/>
              <w:keepNext/>
              <w:jc w:val="center"/>
            </w:pPr>
          </w:p>
        </w:tc>
        <w:tc>
          <w:tcPr>
            <w:tcW w:w="2782" w:type="dxa"/>
          </w:tcPr>
          <w:p w14:paraId="765C5767" w14:textId="77777777" w:rsidR="00833787" w:rsidRPr="00CB0316" w:rsidRDefault="00833787" w:rsidP="00B86868">
            <w:pPr>
              <w:pStyle w:val="StandardOCAshurst"/>
              <w:keepNext/>
              <w:jc w:val="center"/>
              <w:rPr>
                <w:b/>
                <w:i/>
              </w:rPr>
            </w:pPr>
            <w:r w:rsidRPr="00CB0316">
              <w:rPr>
                <w:b/>
                <w:i/>
              </w:rPr>
              <w:t>In respect of Danish Notes:</w:t>
            </w:r>
          </w:p>
          <w:p w14:paraId="4F91F6B0" w14:textId="77777777" w:rsidR="00833787" w:rsidRPr="00CB0316" w:rsidRDefault="00833787" w:rsidP="00B86868">
            <w:pPr>
              <w:pStyle w:val="StandardOCAshurst"/>
              <w:keepNext/>
              <w:jc w:val="center"/>
              <w:rPr>
                <w:b/>
              </w:rPr>
            </w:pPr>
          </w:p>
        </w:tc>
        <w:tc>
          <w:tcPr>
            <w:tcW w:w="2756" w:type="dxa"/>
          </w:tcPr>
          <w:p w14:paraId="2DB1A9E9" w14:textId="77777777" w:rsidR="00833787" w:rsidRPr="00CB0316" w:rsidRDefault="00833787" w:rsidP="00B86868">
            <w:pPr>
              <w:pStyle w:val="StandardOCAshurst"/>
              <w:keepNext/>
              <w:jc w:val="center"/>
              <w:rPr>
                <w:b/>
              </w:rPr>
            </w:pPr>
          </w:p>
        </w:tc>
      </w:tr>
      <w:tr w:rsidR="00125818" w:rsidRPr="00CB0316" w14:paraId="1EA98120" w14:textId="77777777" w:rsidTr="00B86868">
        <w:tc>
          <w:tcPr>
            <w:tcW w:w="2768" w:type="dxa"/>
          </w:tcPr>
          <w:p w14:paraId="325BBCA9" w14:textId="77777777" w:rsidR="00833787" w:rsidRPr="00CB0316" w:rsidRDefault="00833787" w:rsidP="00B86868">
            <w:pPr>
              <w:pStyle w:val="StandardOCAshurst"/>
              <w:keepNext/>
              <w:jc w:val="center"/>
            </w:pPr>
            <w:r w:rsidRPr="00CB0316">
              <w:rPr>
                <w:b/>
              </w:rPr>
              <w:t>Danish Programme Agent</w:t>
            </w:r>
          </w:p>
        </w:tc>
        <w:tc>
          <w:tcPr>
            <w:tcW w:w="2782" w:type="dxa"/>
          </w:tcPr>
          <w:p w14:paraId="04617B8F" w14:textId="77777777" w:rsidR="00833787" w:rsidRPr="00CB0316" w:rsidRDefault="00833787" w:rsidP="00B86868">
            <w:pPr>
              <w:pStyle w:val="StandardOCAshurst"/>
              <w:keepNext/>
              <w:jc w:val="center"/>
              <w:rPr>
                <w:b/>
              </w:rPr>
            </w:pPr>
            <w:r w:rsidRPr="00CB0316">
              <w:rPr>
                <w:b/>
              </w:rPr>
              <w:t>Danish Registrar</w:t>
            </w:r>
          </w:p>
        </w:tc>
        <w:tc>
          <w:tcPr>
            <w:tcW w:w="2756" w:type="dxa"/>
          </w:tcPr>
          <w:p w14:paraId="2ACDE076" w14:textId="77777777" w:rsidR="00833787" w:rsidRPr="00CB0316" w:rsidRDefault="00833787" w:rsidP="00B86868">
            <w:pPr>
              <w:pStyle w:val="StandardOCAshurst"/>
              <w:keepNext/>
              <w:jc w:val="center"/>
            </w:pPr>
            <w:r w:rsidRPr="00CB0316">
              <w:rPr>
                <w:b/>
              </w:rPr>
              <w:t>Legal Adviser to the Issuers</w:t>
            </w:r>
          </w:p>
          <w:p w14:paraId="3728DB98" w14:textId="77777777" w:rsidR="00833787" w:rsidRPr="00CB0316" w:rsidRDefault="00833787" w:rsidP="00B86868">
            <w:pPr>
              <w:pStyle w:val="StandardOCAshurst"/>
              <w:keepNext/>
              <w:jc w:val="center"/>
              <w:rPr>
                <w:i/>
              </w:rPr>
            </w:pPr>
            <w:r w:rsidRPr="00CB0316">
              <w:rPr>
                <w:i/>
              </w:rPr>
              <w:t>in respect of Danish law</w:t>
            </w:r>
          </w:p>
          <w:p w14:paraId="357D300F" w14:textId="77777777" w:rsidR="00833787" w:rsidRPr="00CB0316" w:rsidRDefault="00833787" w:rsidP="00B86868">
            <w:pPr>
              <w:pStyle w:val="StandardOCAshurst"/>
              <w:keepNext/>
              <w:jc w:val="center"/>
              <w:rPr>
                <w:b/>
              </w:rPr>
            </w:pPr>
          </w:p>
        </w:tc>
      </w:tr>
      <w:tr w:rsidR="00125818" w:rsidRPr="00CB0316" w14:paraId="4563CBC8" w14:textId="77777777" w:rsidTr="00B86868">
        <w:tc>
          <w:tcPr>
            <w:tcW w:w="2768" w:type="dxa"/>
          </w:tcPr>
          <w:p w14:paraId="67CB5BA6" w14:textId="77777777" w:rsidR="00833787" w:rsidRPr="00CB0316" w:rsidRDefault="00833787" w:rsidP="00B86868">
            <w:pPr>
              <w:pStyle w:val="StandardOCAshurst"/>
              <w:keepNext/>
              <w:jc w:val="center"/>
              <w:rPr>
                <w:b/>
                <w:lang w:val="de-DE"/>
              </w:rPr>
            </w:pPr>
            <w:proofErr w:type="spellStart"/>
            <w:r w:rsidRPr="00CB0316">
              <w:rPr>
                <w:b/>
                <w:lang w:val="de-DE"/>
              </w:rPr>
              <w:t>Skandinaviska</w:t>
            </w:r>
            <w:proofErr w:type="spellEnd"/>
            <w:r w:rsidRPr="00CB0316">
              <w:rPr>
                <w:b/>
                <w:lang w:val="de-DE"/>
              </w:rPr>
              <w:t xml:space="preserve"> </w:t>
            </w:r>
            <w:proofErr w:type="spellStart"/>
            <w:r w:rsidRPr="00CB0316">
              <w:rPr>
                <w:b/>
                <w:lang w:val="de-DE"/>
              </w:rPr>
              <w:t>Enskilda</w:t>
            </w:r>
            <w:proofErr w:type="spellEnd"/>
            <w:r w:rsidRPr="00CB0316">
              <w:rPr>
                <w:b/>
                <w:lang w:val="de-DE"/>
              </w:rPr>
              <w:t xml:space="preserve"> Banken AB (</w:t>
            </w:r>
            <w:proofErr w:type="spellStart"/>
            <w:r w:rsidRPr="00CB0316">
              <w:rPr>
                <w:b/>
                <w:lang w:val="de-DE"/>
              </w:rPr>
              <w:t>publ</w:t>
            </w:r>
            <w:proofErr w:type="spellEnd"/>
            <w:r w:rsidRPr="00CB0316">
              <w:rPr>
                <w:b/>
                <w:lang w:val="de-DE"/>
              </w:rPr>
              <w:t>)</w:t>
            </w:r>
          </w:p>
          <w:p w14:paraId="7F87E3E4" w14:textId="77777777" w:rsidR="00833787" w:rsidRPr="00CB0316" w:rsidRDefault="00833787" w:rsidP="00B86868">
            <w:pPr>
              <w:pStyle w:val="StandardOCAshurst"/>
              <w:keepNext/>
              <w:jc w:val="center"/>
              <w:rPr>
                <w:lang w:val="de-DE"/>
              </w:rPr>
            </w:pPr>
            <w:proofErr w:type="spellStart"/>
            <w:r w:rsidRPr="00CB0316">
              <w:rPr>
                <w:lang w:val="de-DE"/>
              </w:rPr>
              <w:t>Copenhagen</w:t>
            </w:r>
            <w:proofErr w:type="spellEnd"/>
            <w:r w:rsidRPr="00CB0316">
              <w:rPr>
                <w:lang w:val="de-DE"/>
              </w:rPr>
              <w:t xml:space="preserve"> Branch </w:t>
            </w:r>
          </w:p>
          <w:p w14:paraId="1B3E93F2" w14:textId="77777777" w:rsidR="00833787" w:rsidRPr="00CB0316" w:rsidRDefault="00833787" w:rsidP="00B86868">
            <w:pPr>
              <w:pStyle w:val="StandardOCAshurst"/>
              <w:keepNext/>
              <w:jc w:val="center"/>
              <w:rPr>
                <w:lang w:val="de-DE"/>
              </w:rPr>
            </w:pPr>
            <w:r w:rsidRPr="00CB0316">
              <w:rPr>
                <w:lang w:val="de-DE"/>
              </w:rPr>
              <w:t xml:space="preserve">Investor Services </w:t>
            </w:r>
            <w:proofErr w:type="spellStart"/>
            <w:r w:rsidRPr="00CB0316">
              <w:rPr>
                <w:lang w:val="de-DE"/>
              </w:rPr>
              <w:t>Bernstorffsgade</w:t>
            </w:r>
            <w:proofErr w:type="spellEnd"/>
            <w:r w:rsidRPr="00CB0316">
              <w:rPr>
                <w:lang w:val="de-DE"/>
              </w:rPr>
              <w:t xml:space="preserve"> 50</w:t>
            </w:r>
          </w:p>
          <w:p w14:paraId="4ABE76F7" w14:textId="77777777" w:rsidR="00833787" w:rsidRPr="00CB0316" w:rsidRDefault="00833787" w:rsidP="00B86868">
            <w:pPr>
              <w:pStyle w:val="StandardOCAshurst"/>
              <w:keepNext/>
              <w:jc w:val="center"/>
            </w:pPr>
            <w:r w:rsidRPr="00CB0316">
              <w:t>1577 Copenhagen V</w:t>
            </w:r>
          </w:p>
          <w:p w14:paraId="07E6C996" w14:textId="77777777" w:rsidR="00833787" w:rsidRPr="00CB0316" w:rsidRDefault="00833787" w:rsidP="00B86868">
            <w:pPr>
              <w:pStyle w:val="StandardOCAshurst"/>
              <w:keepNext/>
              <w:jc w:val="center"/>
            </w:pPr>
            <w:r w:rsidRPr="00CB0316">
              <w:t>Denmark</w:t>
            </w:r>
          </w:p>
          <w:p w14:paraId="3BD02987" w14:textId="77777777" w:rsidR="00833787" w:rsidRPr="00CB0316" w:rsidRDefault="00833787" w:rsidP="00B86868">
            <w:pPr>
              <w:pStyle w:val="StandardOCAshurst"/>
              <w:keepNext/>
              <w:jc w:val="center"/>
              <w:rPr>
                <w:b/>
              </w:rPr>
            </w:pPr>
          </w:p>
        </w:tc>
        <w:tc>
          <w:tcPr>
            <w:tcW w:w="2782" w:type="dxa"/>
          </w:tcPr>
          <w:p w14:paraId="3BD5F610" w14:textId="77777777" w:rsidR="00833787" w:rsidRPr="00CB0316" w:rsidRDefault="00833787" w:rsidP="00B86868">
            <w:pPr>
              <w:pStyle w:val="StandardOCAshurst"/>
              <w:keepNext/>
              <w:jc w:val="center"/>
              <w:rPr>
                <w:b/>
              </w:rPr>
            </w:pPr>
            <w:r w:rsidRPr="00CB0316">
              <w:rPr>
                <w:b/>
              </w:rPr>
              <w:t>Euronext Securities Copenhagen (VP Securities A/S)</w:t>
            </w:r>
          </w:p>
          <w:p w14:paraId="1A4D8B5F" w14:textId="77777777" w:rsidR="00833787" w:rsidRPr="00CB0316" w:rsidRDefault="00833787" w:rsidP="00B86868">
            <w:pPr>
              <w:pStyle w:val="StandardOCAshurst"/>
              <w:keepNext/>
              <w:jc w:val="center"/>
              <w:rPr>
                <w:lang w:val="de-DE"/>
              </w:rPr>
            </w:pPr>
            <w:r w:rsidRPr="00CB0316">
              <w:rPr>
                <w:lang w:val="de-DE"/>
              </w:rPr>
              <w:t xml:space="preserve">Nicolai </w:t>
            </w:r>
            <w:proofErr w:type="spellStart"/>
            <w:r w:rsidRPr="00CB0316">
              <w:rPr>
                <w:lang w:val="de-DE"/>
              </w:rPr>
              <w:t>Eigtveds</w:t>
            </w:r>
            <w:proofErr w:type="spellEnd"/>
            <w:r w:rsidRPr="00CB0316">
              <w:rPr>
                <w:lang w:val="de-DE"/>
              </w:rPr>
              <w:t xml:space="preserve"> </w:t>
            </w:r>
            <w:proofErr w:type="spellStart"/>
            <w:r w:rsidRPr="00CB0316">
              <w:rPr>
                <w:lang w:val="de-DE"/>
              </w:rPr>
              <w:t>Gade</w:t>
            </w:r>
            <w:proofErr w:type="spellEnd"/>
            <w:r w:rsidRPr="00CB0316">
              <w:rPr>
                <w:lang w:val="de-DE"/>
              </w:rPr>
              <w:t xml:space="preserve"> 8</w:t>
            </w:r>
          </w:p>
          <w:p w14:paraId="2BE880E6" w14:textId="77777777" w:rsidR="00833787" w:rsidRPr="00CB0316" w:rsidRDefault="00833787" w:rsidP="00B86868">
            <w:pPr>
              <w:pStyle w:val="StandardOCAshurst"/>
              <w:keepNext/>
              <w:jc w:val="center"/>
              <w:rPr>
                <w:lang w:val="de-DE"/>
              </w:rPr>
            </w:pPr>
            <w:r w:rsidRPr="00CB0316">
              <w:rPr>
                <w:lang w:val="de-DE"/>
              </w:rPr>
              <w:t xml:space="preserve">1402 </w:t>
            </w:r>
            <w:proofErr w:type="spellStart"/>
            <w:r w:rsidRPr="00CB0316">
              <w:rPr>
                <w:lang w:val="de-DE"/>
              </w:rPr>
              <w:t>Copenhagen</w:t>
            </w:r>
            <w:proofErr w:type="spellEnd"/>
            <w:r w:rsidRPr="00CB0316">
              <w:rPr>
                <w:lang w:val="de-DE"/>
              </w:rPr>
              <w:t xml:space="preserve"> K</w:t>
            </w:r>
          </w:p>
          <w:p w14:paraId="11A5B2AD" w14:textId="77777777" w:rsidR="00833787" w:rsidRPr="00CB0316" w:rsidRDefault="00833787" w:rsidP="00B86868">
            <w:pPr>
              <w:pStyle w:val="StandardOCAshurst"/>
              <w:keepNext/>
              <w:jc w:val="center"/>
              <w:rPr>
                <w:b/>
                <w:lang w:val="de-DE"/>
              </w:rPr>
            </w:pPr>
            <w:r w:rsidRPr="00CB0316">
              <w:rPr>
                <w:lang w:val="de-DE"/>
              </w:rPr>
              <w:t>Denmark</w:t>
            </w:r>
          </w:p>
        </w:tc>
        <w:tc>
          <w:tcPr>
            <w:tcW w:w="2756" w:type="dxa"/>
          </w:tcPr>
          <w:p w14:paraId="1CC45664" w14:textId="77777777" w:rsidR="00833787" w:rsidRPr="00CB0316" w:rsidRDefault="00833787" w:rsidP="00B86868">
            <w:pPr>
              <w:pStyle w:val="StandardOCAshurst"/>
              <w:keepNext/>
              <w:jc w:val="center"/>
              <w:rPr>
                <w:b/>
              </w:rPr>
            </w:pPr>
            <w:proofErr w:type="spellStart"/>
            <w:r w:rsidRPr="00CB0316">
              <w:rPr>
                <w:b/>
              </w:rPr>
              <w:t>Bech-Bruun</w:t>
            </w:r>
            <w:proofErr w:type="spellEnd"/>
            <w:r w:rsidRPr="00CB0316">
              <w:rPr>
                <w:b/>
              </w:rPr>
              <w:t xml:space="preserve"> Law Firm P/S</w:t>
            </w:r>
          </w:p>
          <w:p w14:paraId="3332EF01" w14:textId="77777777" w:rsidR="00833787" w:rsidRPr="00CB0316" w:rsidRDefault="00833787" w:rsidP="00B86868">
            <w:pPr>
              <w:pStyle w:val="StandardOCAshurst"/>
              <w:keepNext/>
              <w:jc w:val="center"/>
            </w:pPr>
            <w:r w:rsidRPr="00CB0316">
              <w:t xml:space="preserve">Langelinie </w:t>
            </w:r>
            <w:proofErr w:type="spellStart"/>
            <w:r w:rsidRPr="00CB0316">
              <w:t>Allé</w:t>
            </w:r>
            <w:proofErr w:type="spellEnd"/>
            <w:r w:rsidRPr="00CB0316">
              <w:t xml:space="preserve"> 35</w:t>
            </w:r>
          </w:p>
          <w:p w14:paraId="4407C770" w14:textId="77777777" w:rsidR="00833787" w:rsidRPr="00CB0316" w:rsidRDefault="00833787" w:rsidP="00B86868">
            <w:pPr>
              <w:pStyle w:val="StandardOCAshurst"/>
              <w:keepNext/>
              <w:jc w:val="center"/>
            </w:pPr>
            <w:r w:rsidRPr="00CB0316">
              <w:t>2100 Copenhagen</w:t>
            </w:r>
          </w:p>
          <w:p w14:paraId="797AF7DD" w14:textId="77777777" w:rsidR="00833787" w:rsidRPr="00CB0316" w:rsidRDefault="00833787" w:rsidP="00B86868">
            <w:pPr>
              <w:pStyle w:val="StandardOCAshurst"/>
              <w:keepNext/>
              <w:jc w:val="center"/>
            </w:pPr>
            <w:r w:rsidRPr="00CB0316">
              <w:t>Denmark</w:t>
            </w:r>
          </w:p>
          <w:p w14:paraId="7D83D3DD" w14:textId="77777777" w:rsidR="00833787" w:rsidRPr="00CB0316" w:rsidRDefault="00833787" w:rsidP="00B86868">
            <w:pPr>
              <w:pStyle w:val="StandardOCAshurst"/>
              <w:keepNext/>
              <w:jc w:val="center"/>
              <w:rPr>
                <w:b/>
              </w:rPr>
            </w:pPr>
          </w:p>
        </w:tc>
      </w:tr>
      <w:tr w:rsidR="00125818" w:rsidRPr="00CB0316" w14:paraId="48C179F7" w14:textId="77777777" w:rsidTr="00B86868">
        <w:tc>
          <w:tcPr>
            <w:tcW w:w="8306" w:type="dxa"/>
            <w:gridSpan w:val="3"/>
          </w:tcPr>
          <w:p w14:paraId="208D934C" w14:textId="77777777" w:rsidR="00833787" w:rsidRPr="00CB0316" w:rsidRDefault="00833787" w:rsidP="00B86868">
            <w:pPr>
              <w:pStyle w:val="StandardOCAshurst"/>
              <w:jc w:val="center"/>
              <w:rPr>
                <w:b/>
                <w:i/>
              </w:rPr>
            </w:pPr>
            <w:r w:rsidRPr="00CB0316">
              <w:rPr>
                <w:b/>
                <w:i/>
              </w:rPr>
              <w:t>In respect of French Securities:</w:t>
            </w:r>
          </w:p>
          <w:p w14:paraId="725883B4" w14:textId="77777777" w:rsidR="00833787" w:rsidRPr="00CB0316" w:rsidRDefault="00833787" w:rsidP="00B86868">
            <w:pPr>
              <w:pStyle w:val="StandardOCAshurst"/>
              <w:jc w:val="center"/>
              <w:rPr>
                <w:b/>
              </w:rPr>
            </w:pPr>
          </w:p>
        </w:tc>
      </w:tr>
      <w:tr w:rsidR="00125818" w:rsidRPr="00CB0316" w14:paraId="61193B59" w14:textId="77777777" w:rsidTr="00B86868">
        <w:tc>
          <w:tcPr>
            <w:tcW w:w="2768" w:type="dxa"/>
          </w:tcPr>
          <w:p w14:paraId="4170D006" w14:textId="77777777" w:rsidR="00833787" w:rsidRPr="00CB0316" w:rsidRDefault="00833787" w:rsidP="00B86868">
            <w:pPr>
              <w:pStyle w:val="StandardOCAshurst"/>
              <w:jc w:val="center"/>
              <w:rPr>
                <w:b/>
              </w:rPr>
            </w:pPr>
            <w:r w:rsidRPr="00CB0316">
              <w:rPr>
                <w:b/>
              </w:rPr>
              <w:t>French Programme Agent</w:t>
            </w:r>
          </w:p>
        </w:tc>
        <w:tc>
          <w:tcPr>
            <w:tcW w:w="2782" w:type="dxa"/>
          </w:tcPr>
          <w:p w14:paraId="1FE9411C" w14:textId="77777777" w:rsidR="00833787" w:rsidRPr="00CB0316" w:rsidRDefault="00833787" w:rsidP="00B86868">
            <w:pPr>
              <w:pStyle w:val="StandardOCAshurst"/>
              <w:jc w:val="center"/>
              <w:rPr>
                <w:b/>
              </w:rPr>
            </w:pPr>
            <w:r w:rsidRPr="00CB0316">
              <w:rPr>
                <w:b/>
              </w:rPr>
              <w:t>Dutch Listing Agent</w:t>
            </w:r>
          </w:p>
        </w:tc>
        <w:tc>
          <w:tcPr>
            <w:tcW w:w="2756" w:type="dxa"/>
          </w:tcPr>
          <w:p w14:paraId="52739B39" w14:textId="77777777" w:rsidR="00833787" w:rsidRPr="00CB0316" w:rsidRDefault="00833787" w:rsidP="00B86868">
            <w:pPr>
              <w:pStyle w:val="StandardOCAshurst"/>
              <w:jc w:val="center"/>
              <w:rPr>
                <w:b/>
              </w:rPr>
            </w:pPr>
            <w:r w:rsidRPr="00CB0316">
              <w:rPr>
                <w:b/>
              </w:rPr>
              <w:t>Legal Advisers to the Issuers</w:t>
            </w:r>
          </w:p>
          <w:p w14:paraId="3816C18F" w14:textId="77777777" w:rsidR="00833787" w:rsidRPr="00CB0316" w:rsidRDefault="00833787" w:rsidP="00B86868">
            <w:pPr>
              <w:pStyle w:val="StandardOCAshurst"/>
              <w:jc w:val="center"/>
              <w:rPr>
                <w:i/>
              </w:rPr>
            </w:pPr>
            <w:r w:rsidRPr="00CB0316">
              <w:rPr>
                <w:i/>
              </w:rPr>
              <w:t>in respect of French law</w:t>
            </w:r>
          </w:p>
          <w:p w14:paraId="5C0C5B59" w14:textId="77777777" w:rsidR="00833787" w:rsidRPr="00CB0316" w:rsidRDefault="00833787" w:rsidP="00B86868">
            <w:pPr>
              <w:pStyle w:val="StandardOCAshurst"/>
              <w:jc w:val="center"/>
              <w:rPr>
                <w:b/>
              </w:rPr>
            </w:pPr>
          </w:p>
        </w:tc>
      </w:tr>
      <w:tr w:rsidR="00125818" w:rsidRPr="00CB0316" w14:paraId="6B44F3F0" w14:textId="77777777" w:rsidTr="00B86868">
        <w:tc>
          <w:tcPr>
            <w:tcW w:w="2768" w:type="dxa"/>
          </w:tcPr>
          <w:p w14:paraId="2006B341" w14:textId="77777777" w:rsidR="00833787" w:rsidRPr="00CB0316" w:rsidRDefault="00833787" w:rsidP="00B86868">
            <w:pPr>
              <w:pStyle w:val="StandardOCAshurst"/>
              <w:jc w:val="center"/>
              <w:rPr>
                <w:b/>
                <w:lang w:val="fr-FR"/>
              </w:rPr>
            </w:pPr>
            <w:r w:rsidRPr="00CB0316">
              <w:rPr>
                <w:b/>
                <w:lang w:val="fr-FR"/>
              </w:rPr>
              <w:t>BNP Paribas S.A.</w:t>
            </w:r>
          </w:p>
          <w:p w14:paraId="3C1789FF" w14:textId="77777777" w:rsidR="00833787" w:rsidRPr="00CB0316" w:rsidRDefault="00833787" w:rsidP="00B86868">
            <w:pPr>
              <w:pStyle w:val="StandardOCAshurst"/>
              <w:jc w:val="center"/>
              <w:rPr>
                <w:lang w:val="fr-FR"/>
              </w:rPr>
            </w:pPr>
            <w:r w:rsidRPr="00CB0316">
              <w:rPr>
                <w:lang w:val="fr-FR"/>
              </w:rPr>
              <w:t>16, boulevard des Italiens</w:t>
            </w:r>
          </w:p>
          <w:p w14:paraId="6E15DD1E" w14:textId="77777777" w:rsidR="00833787" w:rsidRPr="00CB0316" w:rsidRDefault="00833787" w:rsidP="00B86868">
            <w:pPr>
              <w:pStyle w:val="StandardOCAshurst"/>
              <w:jc w:val="center"/>
              <w:rPr>
                <w:lang w:val="fr-FR"/>
              </w:rPr>
            </w:pPr>
            <w:r w:rsidRPr="00CB0316">
              <w:rPr>
                <w:lang w:val="fr-FR"/>
              </w:rPr>
              <w:t>75009 Paris</w:t>
            </w:r>
          </w:p>
          <w:p w14:paraId="57D0ADCD" w14:textId="77777777" w:rsidR="00833787" w:rsidRPr="00CB0316" w:rsidRDefault="00833787" w:rsidP="00B86868">
            <w:pPr>
              <w:pStyle w:val="StandardOCAshurst"/>
              <w:jc w:val="center"/>
              <w:rPr>
                <w:b/>
                <w:lang w:val="fr-FR"/>
              </w:rPr>
            </w:pPr>
            <w:r w:rsidRPr="00CB0316">
              <w:rPr>
                <w:lang w:val="fr-FR"/>
              </w:rPr>
              <w:t>France</w:t>
            </w:r>
            <w:r w:rsidRPr="00CB0316">
              <w:rPr>
                <w:b/>
                <w:lang w:val="fr-FR"/>
              </w:rPr>
              <w:t xml:space="preserve"> </w:t>
            </w:r>
          </w:p>
        </w:tc>
        <w:tc>
          <w:tcPr>
            <w:tcW w:w="2782" w:type="dxa"/>
          </w:tcPr>
          <w:p w14:paraId="7BA86C82" w14:textId="77777777" w:rsidR="00833787" w:rsidRPr="00CB0316" w:rsidRDefault="00833787" w:rsidP="00B86868">
            <w:pPr>
              <w:pStyle w:val="StandardOCAshurst"/>
              <w:jc w:val="center"/>
              <w:rPr>
                <w:b/>
                <w:lang w:val="nl-NL"/>
              </w:rPr>
            </w:pPr>
            <w:proofErr w:type="spellStart"/>
            <w:r w:rsidRPr="00CB0316">
              <w:rPr>
                <w:b/>
                <w:lang w:val="nl-NL"/>
              </w:rPr>
              <w:t>Cooperatieve</w:t>
            </w:r>
            <w:proofErr w:type="spellEnd"/>
            <w:r w:rsidRPr="00CB0316">
              <w:rPr>
                <w:b/>
                <w:lang w:val="nl-NL"/>
              </w:rPr>
              <w:t xml:space="preserve"> Centrale </w:t>
            </w:r>
            <w:proofErr w:type="spellStart"/>
            <w:r w:rsidRPr="00CB0316">
              <w:rPr>
                <w:b/>
                <w:lang w:val="nl-NL"/>
              </w:rPr>
              <w:t>Raiffeisen</w:t>
            </w:r>
            <w:proofErr w:type="spellEnd"/>
            <w:r w:rsidRPr="00CB0316">
              <w:rPr>
                <w:b/>
                <w:lang w:val="nl-NL"/>
              </w:rPr>
              <w:t>-Boerenleenbank BA</w:t>
            </w:r>
          </w:p>
          <w:p w14:paraId="0757ABAB" w14:textId="77777777" w:rsidR="00833787" w:rsidRPr="00CB0316" w:rsidRDefault="00833787" w:rsidP="00B86868">
            <w:pPr>
              <w:pStyle w:val="StandardOCAshurst"/>
              <w:jc w:val="center"/>
              <w:rPr>
                <w:lang w:val="nl-NL"/>
              </w:rPr>
            </w:pPr>
            <w:r w:rsidRPr="00CB0316">
              <w:rPr>
                <w:lang w:val="nl-NL"/>
              </w:rPr>
              <w:t>Amstelplein 1, 1096 HA</w:t>
            </w:r>
          </w:p>
          <w:p w14:paraId="49617D16" w14:textId="77777777" w:rsidR="00833787" w:rsidRPr="00CB0316" w:rsidRDefault="00833787" w:rsidP="00B86868">
            <w:pPr>
              <w:pStyle w:val="StandardOCAshurst"/>
              <w:jc w:val="center"/>
            </w:pPr>
            <w:r w:rsidRPr="00CB0316">
              <w:t>Amsterdam</w:t>
            </w:r>
          </w:p>
          <w:p w14:paraId="3C089726" w14:textId="77777777" w:rsidR="00833787" w:rsidRPr="00CB0316" w:rsidRDefault="00833787" w:rsidP="00B86868">
            <w:pPr>
              <w:pStyle w:val="StandardOCAshurst"/>
              <w:jc w:val="center"/>
            </w:pPr>
            <w:r w:rsidRPr="00CB0316">
              <w:t>The Netherlands</w:t>
            </w:r>
          </w:p>
          <w:p w14:paraId="309B64B2" w14:textId="77777777" w:rsidR="00833787" w:rsidRPr="00CB0316" w:rsidRDefault="00833787" w:rsidP="00B86868">
            <w:pPr>
              <w:pStyle w:val="StandardOCAshurst"/>
              <w:jc w:val="center"/>
              <w:rPr>
                <w:b/>
              </w:rPr>
            </w:pPr>
          </w:p>
        </w:tc>
        <w:tc>
          <w:tcPr>
            <w:tcW w:w="2756" w:type="dxa"/>
          </w:tcPr>
          <w:p w14:paraId="5472DCFA" w14:textId="77777777" w:rsidR="00833787" w:rsidRPr="00CB0316" w:rsidRDefault="00833787" w:rsidP="00B86868">
            <w:pPr>
              <w:pStyle w:val="StandardOCAshurst"/>
              <w:jc w:val="center"/>
              <w:rPr>
                <w:b/>
                <w:lang w:val="fr-FR"/>
              </w:rPr>
            </w:pPr>
            <w:r w:rsidRPr="00CB0316">
              <w:rPr>
                <w:b/>
                <w:lang w:val="fr-FR"/>
              </w:rPr>
              <w:t>Ashurst LLP</w:t>
            </w:r>
          </w:p>
          <w:p w14:paraId="55943444" w14:textId="77777777" w:rsidR="00833787" w:rsidRPr="00CB0316" w:rsidRDefault="00833787" w:rsidP="00B86868">
            <w:pPr>
              <w:pStyle w:val="StandardOCAshurst"/>
              <w:jc w:val="center"/>
              <w:rPr>
                <w:lang w:val="fr-FR"/>
              </w:rPr>
            </w:pPr>
            <w:r w:rsidRPr="00CB0316">
              <w:rPr>
                <w:lang w:val="fr-FR"/>
              </w:rPr>
              <w:t>Avocats au Barreau de Paris</w:t>
            </w:r>
          </w:p>
          <w:p w14:paraId="31A5FF8D" w14:textId="77777777" w:rsidR="00833787" w:rsidRPr="00CB0316" w:rsidRDefault="00833787" w:rsidP="00B86868">
            <w:pPr>
              <w:pStyle w:val="StandardOCAshurst"/>
              <w:jc w:val="center"/>
            </w:pPr>
            <w:r w:rsidRPr="00CB0316">
              <w:t>18, square Edouard VII</w:t>
            </w:r>
          </w:p>
          <w:p w14:paraId="48499ED0" w14:textId="77777777" w:rsidR="00833787" w:rsidRPr="00CB0316" w:rsidRDefault="00833787" w:rsidP="00B86868">
            <w:pPr>
              <w:pStyle w:val="StandardOCAshurst"/>
              <w:jc w:val="center"/>
            </w:pPr>
            <w:r w:rsidRPr="00CB0316">
              <w:t>75009 Paris</w:t>
            </w:r>
          </w:p>
          <w:p w14:paraId="4B5E5C31" w14:textId="77777777" w:rsidR="00833787" w:rsidRPr="00CB0316" w:rsidRDefault="00833787" w:rsidP="00B86868">
            <w:pPr>
              <w:pStyle w:val="StandardOCAshurst"/>
              <w:jc w:val="center"/>
            </w:pPr>
            <w:r w:rsidRPr="00CB0316">
              <w:t>France</w:t>
            </w:r>
          </w:p>
          <w:p w14:paraId="7E039A57" w14:textId="77777777" w:rsidR="00833787" w:rsidRPr="00CB0316" w:rsidRDefault="00833787" w:rsidP="00B86868">
            <w:pPr>
              <w:pStyle w:val="StandardOCAshurst"/>
              <w:jc w:val="center"/>
              <w:rPr>
                <w:b/>
              </w:rPr>
            </w:pPr>
          </w:p>
        </w:tc>
      </w:tr>
      <w:tr w:rsidR="00125818" w:rsidRPr="00CB0316" w14:paraId="6973A567" w14:textId="77777777" w:rsidTr="00B86868">
        <w:tc>
          <w:tcPr>
            <w:tcW w:w="2768" w:type="dxa"/>
          </w:tcPr>
          <w:p w14:paraId="4F4F3399" w14:textId="77777777" w:rsidR="00833787" w:rsidRPr="00CB0316" w:rsidRDefault="00833787" w:rsidP="00B86868">
            <w:pPr>
              <w:pStyle w:val="StandardOCAshurst"/>
              <w:jc w:val="center"/>
              <w:rPr>
                <w:b/>
              </w:rPr>
            </w:pPr>
          </w:p>
        </w:tc>
        <w:tc>
          <w:tcPr>
            <w:tcW w:w="2782" w:type="dxa"/>
          </w:tcPr>
          <w:p w14:paraId="2C7B66B3" w14:textId="77777777" w:rsidR="00833787" w:rsidRPr="00CB0316" w:rsidRDefault="00833787" w:rsidP="00B86868">
            <w:pPr>
              <w:pStyle w:val="StandardOCAshurst"/>
              <w:rPr>
                <w:b/>
                <w:i/>
              </w:rPr>
            </w:pPr>
            <w:r w:rsidRPr="00CB0316">
              <w:rPr>
                <w:b/>
                <w:i/>
              </w:rPr>
              <w:t>In respect of Swiss Securities:</w:t>
            </w:r>
          </w:p>
          <w:p w14:paraId="151FAD02" w14:textId="77777777" w:rsidR="00833787" w:rsidRPr="00CB0316" w:rsidRDefault="00833787" w:rsidP="00B86868">
            <w:pPr>
              <w:pStyle w:val="StandardOCAshurst"/>
              <w:jc w:val="center"/>
              <w:rPr>
                <w:b/>
              </w:rPr>
            </w:pPr>
          </w:p>
        </w:tc>
        <w:tc>
          <w:tcPr>
            <w:tcW w:w="2756" w:type="dxa"/>
          </w:tcPr>
          <w:p w14:paraId="7B3CE03E" w14:textId="77777777" w:rsidR="00833787" w:rsidRPr="00CB0316" w:rsidRDefault="00833787" w:rsidP="00B86868">
            <w:pPr>
              <w:pStyle w:val="StandardOCAshurst"/>
              <w:jc w:val="center"/>
              <w:rPr>
                <w:b/>
              </w:rPr>
            </w:pPr>
          </w:p>
        </w:tc>
      </w:tr>
      <w:tr w:rsidR="00125818" w:rsidRPr="00CB0316" w14:paraId="0F17CB6E" w14:textId="77777777" w:rsidTr="00B86868">
        <w:tc>
          <w:tcPr>
            <w:tcW w:w="2768" w:type="dxa"/>
          </w:tcPr>
          <w:p w14:paraId="149D5C6D" w14:textId="77777777" w:rsidR="00833787" w:rsidRPr="00CB0316" w:rsidRDefault="00833787" w:rsidP="00B86868">
            <w:pPr>
              <w:pStyle w:val="StandardOCAshurst"/>
              <w:jc w:val="center"/>
              <w:rPr>
                <w:b/>
              </w:rPr>
            </w:pPr>
            <w:r w:rsidRPr="00CB0316">
              <w:rPr>
                <w:b/>
              </w:rPr>
              <w:t>Swiss Programme Agent</w:t>
            </w:r>
          </w:p>
        </w:tc>
        <w:tc>
          <w:tcPr>
            <w:tcW w:w="2782" w:type="dxa"/>
          </w:tcPr>
          <w:p w14:paraId="73EF8CAC" w14:textId="77777777" w:rsidR="00833787" w:rsidRPr="00CB0316" w:rsidRDefault="00833787" w:rsidP="00B86868">
            <w:pPr>
              <w:pStyle w:val="StandardOCAshurst"/>
              <w:jc w:val="center"/>
              <w:rPr>
                <w:b/>
              </w:rPr>
            </w:pPr>
          </w:p>
        </w:tc>
        <w:tc>
          <w:tcPr>
            <w:tcW w:w="2756" w:type="dxa"/>
          </w:tcPr>
          <w:p w14:paraId="47F4A2D6" w14:textId="77777777" w:rsidR="00833787" w:rsidRPr="00CB0316" w:rsidRDefault="00833787" w:rsidP="00B86868">
            <w:pPr>
              <w:pStyle w:val="StandardOCAshurst"/>
              <w:jc w:val="center"/>
              <w:rPr>
                <w:b/>
              </w:rPr>
            </w:pPr>
            <w:r w:rsidRPr="00CB0316">
              <w:rPr>
                <w:b/>
              </w:rPr>
              <w:t xml:space="preserve">Legal Advisers to the Issuers </w:t>
            </w:r>
            <w:r w:rsidRPr="00CB0316">
              <w:rPr>
                <w:i/>
              </w:rPr>
              <w:t>in respect of Swiss law</w:t>
            </w:r>
          </w:p>
        </w:tc>
      </w:tr>
      <w:tr w:rsidR="00125818" w:rsidRPr="00CB0316" w14:paraId="032E6E8F" w14:textId="77777777" w:rsidTr="00B86868">
        <w:tc>
          <w:tcPr>
            <w:tcW w:w="2768" w:type="dxa"/>
          </w:tcPr>
          <w:p w14:paraId="1EE3ECB7" w14:textId="77777777" w:rsidR="00833787" w:rsidRPr="00CB0316" w:rsidRDefault="00833787" w:rsidP="00B86868">
            <w:pPr>
              <w:pStyle w:val="StandardOCAshurst"/>
              <w:jc w:val="center"/>
              <w:rPr>
                <w:b/>
                <w:lang w:val="de-DE"/>
              </w:rPr>
            </w:pPr>
            <w:r w:rsidRPr="00CB0316">
              <w:rPr>
                <w:b/>
                <w:lang w:val="de-DE"/>
              </w:rPr>
              <w:t>Credit Suisse AG</w:t>
            </w:r>
          </w:p>
          <w:p w14:paraId="28FCF356" w14:textId="77777777" w:rsidR="00833787" w:rsidRPr="00CB0316" w:rsidRDefault="00833787" w:rsidP="00B86868">
            <w:pPr>
              <w:pStyle w:val="StandardOCAshurst"/>
              <w:jc w:val="center"/>
              <w:rPr>
                <w:lang w:val="de-DE"/>
              </w:rPr>
            </w:pPr>
            <w:r w:rsidRPr="00CB0316">
              <w:rPr>
                <w:lang w:val="de-DE"/>
              </w:rPr>
              <w:t>Paradeplatz 8</w:t>
            </w:r>
          </w:p>
          <w:p w14:paraId="0B0FEF54" w14:textId="77777777" w:rsidR="00833787" w:rsidRPr="00CB0316" w:rsidRDefault="00833787" w:rsidP="00B86868">
            <w:pPr>
              <w:pStyle w:val="StandardOCAshurst"/>
              <w:jc w:val="center"/>
              <w:rPr>
                <w:lang w:val="de-DE"/>
              </w:rPr>
            </w:pPr>
            <w:r w:rsidRPr="00CB0316">
              <w:rPr>
                <w:lang w:val="de-DE"/>
              </w:rPr>
              <w:t>8001 Zürich</w:t>
            </w:r>
          </w:p>
          <w:p w14:paraId="7D5D2F1F" w14:textId="77777777" w:rsidR="00833787" w:rsidRPr="00CB0316" w:rsidRDefault="00833787" w:rsidP="00B86868">
            <w:pPr>
              <w:pStyle w:val="StandardOCAshurst"/>
              <w:jc w:val="center"/>
              <w:rPr>
                <w:b/>
                <w:lang w:val="de-DE"/>
              </w:rPr>
            </w:pPr>
            <w:r w:rsidRPr="00CB0316">
              <w:rPr>
                <w:lang w:val="de-DE"/>
              </w:rPr>
              <w:t>Switzerland</w:t>
            </w:r>
          </w:p>
        </w:tc>
        <w:tc>
          <w:tcPr>
            <w:tcW w:w="2782" w:type="dxa"/>
          </w:tcPr>
          <w:p w14:paraId="7AE5AEA5" w14:textId="77777777" w:rsidR="00833787" w:rsidRPr="00CB0316" w:rsidRDefault="00833787" w:rsidP="00B86868">
            <w:pPr>
              <w:pStyle w:val="StandardOCAshurst"/>
              <w:jc w:val="center"/>
              <w:rPr>
                <w:b/>
                <w:lang w:val="de-DE"/>
              </w:rPr>
            </w:pPr>
          </w:p>
        </w:tc>
        <w:tc>
          <w:tcPr>
            <w:tcW w:w="2756" w:type="dxa"/>
          </w:tcPr>
          <w:p w14:paraId="5869EFD8" w14:textId="77777777" w:rsidR="00833787" w:rsidRPr="00CB0316" w:rsidRDefault="00833787" w:rsidP="00B86868">
            <w:pPr>
              <w:pStyle w:val="StandardOCAshurst"/>
              <w:jc w:val="center"/>
              <w:rPr>
                <w:b/>
                <w:lang w:val="de-DE"/>
              </w:rPr>
            </w:pPr>
            <w:r w:rsidRPr="00CB0316">
              <w:rPr>
                <w:b/>
                <w:lang w:val="de-DE"/>
              </w:rPr>
              <w:t>Homburger AG</w:t>
            </w:r>
          </w:p>
          <w:p w14:paraId="73230DB4" w14:textId="77777777" w:rsidR="00833787" w:rsidRPr="00CB0316" w:rsidRDefault="00833787" w:rsidP="00B86868">
            <w:pPr>
              <w:pStyle w:val="StandardOCAshurst"/>
              <w:jc w:val="center"/>
              <w:rPr>
                <w:lang w:val="de-DE"/>
              </w:rPr>
            </w:pPr>
            <w:r w:rsidRPr="00CB0316">
              <w:rPr>
                <w:lang w:val="de-DE"/>
              </w:rPr>
              <w:t>Prime Tower</w:t>
            </w:r>
          </w:p>
          <w:p w14:paraId="22D1A33C" w14:textId="77777777" w:rsidR="00833787" w:rsidRPr="00CB0316" w:rsidRDefault="00833787" w:rsidP="00B86868">
            <w:pPr>
              <w:pStyle w:val="StandardOCAshurst"/>
              <w:jc w:val="center"/>
              <w:rPr>
                <w:lang w:val="de-DE"/>
              </w:rPr>
            </w:pPr>
            <w:proofErr w:type="spellStart"/>
            <w:r w:rsidRPr="00CB0316">
              <w:rPr>
                <w:lang w:val="de-DE"/>
              </w:rPr>
              <w:t>Hardstrasse</w:t>
            </w:r>
            <w:proofErr w:type="spellEnd"/>
            <w:r w:rsidRPr="00CB0316">
              <w:rPr>
                <w:lang w:val="de-DE"/>
              </w:rPr>
              <w:t xml:space="preserve"> 201</w:t>
            </w:r>
          </w:p>
          <w:p w14:paraId="5F6FFD8D" w14:textId="77777777" w:rsidR="00833787" w:rsidRPr="00CB0316" w:rsidRDefault="00833787" w:rsidP="00B86868">
            <w:pPr>
              <w:pStyle w:val="StandardOCAshurst"/>
              <w:jc w:val="center"/>
              <w:rPr>
                <w:lang w:val="de-DE"/>
              </w:rPr>
            </w:pPr>
            <w:r w:rsidRPr="00CB0316">
              <w:rPr>
                <w:lang w:val="de-DE"/>
              </w:rPr>
              <w:t xml:space="preserve">8005 </w:t>
            </w:r>
            <w:proofErr w:type="spellStart"/>
            <w:r w:rsidRPr="00CB0316">
              <w:rPr>
                <w:lang w:val="de-DE"/>
              </w:rPr>
              <w:t>Zurich</w:t>
            </w:r>
            <w:proofErr w:type="spellEnd"/>
          </w:p>
          <w:p w14:paraId="665EF25F" w14:textId="77777777" w:rsidR="00833787" w:rsidRPr="00CB0316" w:rsidRDefault="00833787" w:rsidP="00B86868">
            <w:pPr>
              <w:pStyle w:val="StandardOCAshurst"/>
              <w:jc w:val="center"/>
              <w:rPr>
                <w:lang w:val="de-DE"/>
              </w:rPr>
            </w:pPr>
            <w:r w:rsidRPr="00CB0316">
              <w:rPr>
                <w:lang w:val="de-DE"/>
              </w:rPr>
              <w:t>Switzerland</w:t>
            </w:r>
          </w:p>
          <w:p w14:paraId="638512C8" w14:textId="77777777" w:rsidR="00833787" w:rsidRPr="00CB0316" w:rsidRDefault="00833787" w:rsidP="00B86868">
            <w:pPr>
              <w:pStyle w:val="StandardOCAshurst"/>
              <w:jc w:val="center"/>
              <w:rPr>
                <w:b/>
                <w:lang w:val="de-DE"/>
              </w:rPr>
            </w:pPr>
          </w:p>
        </w:tc>
      </w:tr>
      <w:tr w:rsidR="00125818" w:rsidRPr="00CB0316" w14:paraId="69DCD9F3" w14:textId="77777777" w:rsidTr="00B86868">
        <w:tc>
          <w:tcPr>
            <w:tcW w:w="8306" w:type="dxa"/>
            <w:gridSpan w:val="3"/>
          </w:tcPr>
          <w:p w14:paraId="275406A5" w14:textId="77777777" w:rsidR="00833787" w:rsidRPr="00CB0316" w:rsidRDefault="00833787" w:rsidP="00B86868">
            <w:pPr>
              <w:pStyle w:val="StandardOCAshurst"/>
              <w:jc w:val="center"/>
              <w:rPr>
                <w:b/>
                <w:i/>
              </w:rPr>
            </w:pPr>
            <w:r w:rsidRPr="00CB0316">
              <w:rPr>
                <w:b/>
                <w:i/>
              </w:rPr>
              <w:t>In respect of German Securities:</w:t>
            </w:r>
          </w:p>
          <w:p w14:paraId="5D8F9F3D" w14:textId="77777777" w:rsidR="00833787" w:rsidRPr="00CB0316" w:rsidRDefault="00833787" w:rsidP="00B86868">
            <w:pPr>
              <w:pStyle w:val="StandardOCAshurst"/>
              <w:jc w:val="center"/>
              <w:rPr>
                <w:b/>
              </w:rPr>
            </w:pPr>
          </w:p>
        </w:tc>
      </w:tr>
      <w:tr w:rsidR="00125818" w:rsidRPr="00CB0316" w14:paraId="79BCFA3A" w14:textId="77777777" w:rsidTr="00B86868">
        <w:tc>
          <w:tcPr>
            <w:tcW w:w="2768" w:type="dxa"/>
          </w:tcPr>
          <w:p w14:paraId="58A2239B" w14:textId="77777777" w:rsidR="00833787" w:rsidRPr="00CB0316" w:rsidRDefault="00833787" w:rsidP="00B86868">
            <w:pPr>
              <w:pStyle w:val="StandardOCAshurst"/>
              <w:jc w:val="center"/>
              <w:rPr>
                <w:b/>
                <w:lang w:val="de-DE"/>
              </w:rPr>
            </w:pPr>
            <w:r w:rsidRPr="00CB0316">
              <w:rPr>
                <w:b/>
                <w:lang w:val="de-DE"/>
              </w:rPr>
              <w:t>German Programme Agent</w:t>
            </w:r>
          </w:p>
          <w:p w14:paraId="5F3CD377" w14:textId="77777777" w:rsidR="00833787" w:rsidRPr="00CB0316" w:rsidRDefault="00833787" w:rsidP="00B86868">
            <w:pPr>
              <w:pStyle w:val="StandardOCAshurst"/>
              <w:jc w:val="center"/>
              <w:rPr>
                <w:lang w:val="de-DE"/>
              </w:rPr>
            </w:pPr>
          </w:p>
          <w:p w14:paraId="3B89541F" w14:textId="77777777" w:rsidR="00833787" w:rsidRPr="00CB0316" w:rsidRDefault="00833787" w:rsidP="00B86868">
            <w:pPr>
              <w:pStyle w:val="StandardOCAshurst"/>
              <w:jc w:val="center"/>
              <w:rPr>
                <w:lang w:val="de-DE"/>
              </w:rPr>
            </w:pPr>
            <w:r w:rsidRPr="00CB0316">
              <w:rPr>
                <w:b/>
                <w:lang w:val="de-DE"/>
              </w:rPr>
              <w:t>BNP Paribas S.A. Germany Branch</w:t>
            </w:r>
          </w:p>
          <w:p w14:paraId="1E6D0593" w14:textId="77777777" w:rsidR="00833787" w:rsidRPr="00CB0316" w:rsidRDefault="00833787" w:rsidP="00B86868">
            <w:pPr>
              <w:pStyle w:val="StandardOCAshurst"/>
              <w:jc w:val="center"/>
              <w:rPr>
                <w:lang w:val="de-DE"/>
              </w:rPr>
            </w:pPr>
            <w:proofErr w:type="spellStart"/>
            <w:r w:rsidRPr="00CB0316">
              <w:rPr>
                <w:lang w:val="de-DE"/>
              </w:rPr>
              <w:t>Senckenberganlage</w:t>
            </w:r>
            <w:proofErr w:type="spellEnd"/>
            <w:r w:rsidRPr="00CB0316">
              <w:rPr>
                <w:lang w:val="de-DE"/>
              </w:rPr>
              <w:t xml:space="preserve"> 19</w:t>
            </w:r>
          </w:p>
          <w:p w14:paraId="577BA9D9" w14:textId="77777777" w:rsidR="00833787" w:rsidRPr="00CB0316" w:rsidRDefault="00833787" w:rsidP="00B86868">
            <w:pPr>
              <w:pStyle w:val="StandardOCAshurst"/>
              <w:jc w:val="center"/>
              <w:rPr>
                <w:lang w:val="de-DE"/>
              </w:rPr>
            </w:pPr>
            <w:r w:rsidRPr="00CB0316">
              <w:rPr>
                <w:lang w:val="de-DE"/>
              </w:rPr>
              <w:t>60325 Frankfurt am Main</w:t>
            </w:r>
          </w:p>
          <w:p w14:paraId="3E2FD4AE" w14:textId="77777777" w:rsidR="00833787" w:rsidRPr="00CB0316" w:rsidRDefault="00833787" w:rsidP="00B86868">
            <w:pPr>
              <w:pStyle w:val="StandardOCAshurst"/>
              <w:jc w:val="center"/>
              <w:rPr>
                <w:b/>
                <w:lang w:val="de-DE"/>
              </w:rPr>
            </w:pPr>
            <w:r w:rsidRPr="00CB0316">
              <w:rPr>
                <w:lang w:val="de-DE"/>
              </w:rPr>
              <w:t>Germany</w:t>
            </w:r>
          </w:p>
        </w:tc>
        <w:tc>
          <w:tcPr>
            <w:tcW w:w="2782" w:type="dxa"/>
          </w:tcPr>
          <w:p w14:paraId="4BFEF1CD" w14:textId="77777777" w:rsidR="00833787" w:rsidRPr="00CB0316" w:rsidRDefault="00833787" w:rsidP="00B86868">
            <w:pPr>
              <w:pStyle w:val="StandardOCAshurst"/>
              <w:rPr>
                <w:b/>
                <w:i/>
                <w:lang w:val="de-DE"/>
              </w:rPr>
            </w:pPr>
          </w:p>
        </w:tc>
        <w:tc>
          <w:tcPr>
            <w:tcW w:w="2756" w:type="dxa"/>
          </w:tcPr>
          <w:p w14:paraId="0E8F101B" w14:textId="77777777" w:rsidR="00833787" w:rsidRPr="00CB0316" w:rsidRDefault="00833787" w:rsidP="00B86868">
            <w:pPr>
              <w:pStyle w:val="StandardOCAshurst"/>
              <w:jc w:val="center"/>
              <w:rPr>
                <w:b/>
              </w:rPr>
            </w:pPr>
            <w:r w:rsidRPr="00CB0316">
              <w:rPr>
                <w:b/>
              </w:rPr>
              <w:t>Legal Advisers to the Arranger and Dealer</w:t>
            </w:r>
          </w:p>
          <w:p w14:paraId="21698BFD" w14:textId="77777777" w:rsidR="00833787" w:rsidRPr="00CB0316" w:rsidRDefault="00833787" w:rsidP="00B86868">
            <w:pPr>
              <w:pStyle w:val="StandardOCAshurst"/>
              <w:jc w:val="center"/>
              <w:rPr>
                <w:i/>
              </w:rPr>
            </w:pPr>
            <w:r w:rsidRPr="00CB0316">
              <w:rPr>
                <w:i/>
              </w:rPr>
              <w:t>in respect of German securities law</w:t>
            </w:r>
          </w:p>
          <w:p w14:paraId="692C3AE1" w14:textId="77777777" w:rsidR="00833787" w:rsidRPr="00CB0316" w:rsidRDefault="00833787" w:rsidP="00B86868">
            <w:pPr>
              <w:pStyle w:val="StandardOCAshurst"/>
              <w:jc w:val="center"/>
              <w:rPr>
                <w:b/>
              </w:rPr>
            </w:pPr>
          </w:p>
          <w:p w14:paraId="60DBBF00" w14:textId="77777777" w:rsidR="00833787" w:rsidRPr="00CB0316" w:rsidRDefault="00833787" w:rsidP="00B86868">
            <w:pPr>
              <w:pStyle w:val="StandardOCAshurst"/>
              <w:jc w:val="center"/>
              <w:rPr>
                <w:b/>
                <w:lang w:val="de-DE"/>
              </w:rPr>
            </w:pPr>
            <w:r w:rsidRPr="00CB0316">
              <w:rPr>
                <w:b/>
                <w:lang w:val="de-DE"/>
              </w:rPr>
              <w:t>Simmons &amp; Simmons LLP</w:t>
            </w:r>
          </w:p>
          <w:p w14:paraId="693B471A" w14:textId="77777777" w:rsidR="00833787" w:rsidRPr="00CB0316" w:rsidRDefault="00833787" w:rsidP="00B86868">
            <w:pPr>
              <w:pStyle w:val="StandardOCAshurst"/>
              <w:jc w:val="center"/>
              <w:rPr>
                <w:lang w:val="de-DE"/>
              </w:rPr>
            </w:pPr>
            <w:proofErr w:type="spellStart"/>
            <w:r w:rsidRPr="00CB0316">
              <w:rPr>
                <w:lang w:val="de-DE"/>
              </w:rPr>
              <w:t>MesseTurm</w:t>
            </w:r>
            <w:proofErr w:type="spellEnd"/>
          </w:p>
          <w:p w14:paraId="2223A410" w14:textId="77777777" w:rsidR="00833787" w:rsidRPr="00CB0316" w:rsidRDefault="00833787" w:rsidP="00B86868">
            <w:pPr>
              <w:pStyle w:val="StandardOCAshurst"/>
              <w:jc w:val="center"/>
              <w:rPr>
                <w:lang w:val="de-DE"/>
              </w:rPr>
            </w:pPr>
            <w:r w:rsidRPr="00CB0316">
              <w:rPr>
                <w:lang w:val="de-DE"/>
              </w:rPr>
              <w:t>Friedrich-Ebert-Anlage 49</w:t>
            </w:r>
          </w:p>
          <w:p w14:paraId="4C59B7B4" w14:textId="77777777" w:rsidR="00833787" w:rsidRPr="00CB0316" w:rsidRDefault="00833787" w:rsidP="00B86868">
            <w:pPr>
              <w:pStyle w:val="StandardOCAshurst"/>
              <w:jc w:val="center"/>
            </w:pPr>
            <w:r w:rsidRPr="00CB0316">
              <w:t>60308 Frankfurt am Main</w:t>
            </w:r>
          </w:p>
          <w:p w14:paraId="28E94F95" w14:textId="77777777" w:rsidR="00833787" w:rsidRPr="00CB0316" w:rsidRDefault="00833787" w:rsidP="00B86868">
            <w:pPr>
              <w:pStyle w:val="StandardOCAshurst"/>
              <w:jc w:val="center"/>
            </w:pPr>
            <w:r w:rsidRPr="00CB0316">
              <w:t>Germany</w:t>
            </w:r>
          </w:p>
          <w:p w14:paraId="199EBCC8" w14:textId="77777777" w:rsidR="00833787" w:rsidRPr="00CB0316" w:rsidRDefault="00833787" w:rsidP="00B86868">
            <w:pPr>
              <w:pStyle w:val="StandardOCAshurst"/>
              <w:jc w:val="center"/>
              <w:rPr>
                <w:b/>
              </w:rPr>
            </w:pPr>
          </w:p>
        </w:tc>
      </w:tr>
      <w:tr w:rsidR="00125818" w:rsidRPr="00CB0316" w14:paraId="49760EA8" w14:textId="77777777" w:rsidTr="00B86868">
        <w:tc>
          <w:tcPr>
            <w:tcW w:w="8306" w:type="dxa"/>
            <w:gridSpan w:val="3"/>
          </w:tcPr>
          <w:p w14:paraId="61D87E67" w14:textId="77777777" w:rsidR="00833787" w:rsidRPr="00CB0316" w:rsidRDefault="00833787" w:rsidP="00B86868">
            <w:pPr>
              <w:pStyle w:val="StandardOCAshurst"/>
              <w:jc w:val="center"/>
              <w:rPr>
                <w:b/>
                <w:i/>
                <w:iCs/>
              </w:rPr>
            </w:pPr>
            <w:r w:rsidRPr="00CB0316">
              <w:rPr>
                <w:b/>
                <w:i/>
                <w:iCs/>
              </w:rPr>
              <w:t>In respect of CMU Securities:</w:t>
            </w:r>
          </w:p>
        </w:tc>
      </w:tr>
      <w:tr w:rsidR="00833787" w:rsidRPr="00125818" w14:paraId="29D76483" w14:textId="77777777" w:rsidTr="00B86868">
        <w:tc>
          <w:tcPr>
            <w:tcW w:w="8306" w:type="dxa"/>
            <w:gridSpan w:val="3"/>
          </w:tcPr>
          <w:p w14:paraId="511D29AF" w14:textId="77777777" w:rsidR="00833787" w:rsidRPr="00CB0316" w:rsidRDefault="00833787" w:rsidP="00B86868">
            <w:pPr>
              <w:pStyle w:val="StandardOCAshurst"/>
              <w:jc w:val="center"/>
              <w:rPr>
                <w:b/>
              </w:rPr>
            </w:pPr>
            <w:r w:rsidRPr="00CB0316">
              <w:rPr>
                <w:b/>
              </w:rPr>
              <w:t>CMU Lodging and Paying Agent, CMU Registrar and CMU Transfer Agent</w:t>
            </w:r>
          </w:p>
          <w:p w14:paraId="66D4F291" w14:textId="77777777" w:rsidR="00833787" w:rsidRPr="00CB0316" w:rsidRDefault="00833787" w:rsidP="00B86868">
            <w:pPr>
              <w:pStyle w:val="StandardOCAshurst"/>
              <w:jc w:val="center"/>
              <w:rPr>
                <w:b/>
              </w:rPr>
            </w:pPr>
          </w:p>
          <w:p w14:paraId="126A9645" w14:textId="77777777" w:rsidR="00833787" w:rsidRPr="00CB0316" w:rsidRDefault="00833787" w:rsidP="00B86868">
            <w:pPr>
              <w:pStyle w:val="StandardOCAshurst"/>
              <w:jc w:val="center"/>
              <w:rPr>
                <w:b/>
              </w:rPr>
            </w:pPr>
            <w:r w:rsidRPr="00CB0316">
              <w:rPr>
                <w:b/>
              </w:rPr>
              <w:t>The Bank of New York Mellon, Hong Kong Branch</w:t>
            </w:r>
          </w:p>
          <w:p w14:paraId="1E1396A2" w14:textId="77777777" w:rsidR="00833787" w:rsidRPr="00CB0316" w:rsidRDefault="00833787" w:rsidP="00B86868">
            <w:pPr>
              <w:pStyle w:val="StandardOCAshurst"/>
              <w:jc w:val="center"/>
              <w:rPr>
                <w:bCs/>
              </w:rPr>
            </w:pPr>
            <w:r w:rsidRPr="00CB0316">
              <w:rPr>
                <w:bCs/>
              </w:rPr>
              <w:t>Level 26, Three Pacific Place,</w:t>
            </w:r>
          </w:p>
          <w:p w14:paraId="708675DA" w14:textId="77777777" w:rsidR="00833787" w:rsidRPr="00CB0316" w:rsidRDefault="00833787" w:rsidP="00B86868">
            <w:pPr>
              <w:pStyle w:val="StandardOCAshurst"/>
              <w:jc w:val="center"/>
              <w:rPr>
                <w:bCs/>
              </w:rPr>
            </w:pPr>
            <w:r w:rsidRPr="00CB0316">
              <w:rPr>
                <w:bCs/>
              </w:rPr>
              <w:t>1 Queen’s Road East,</w:t>
            </w:r>
          </w:p>
          <w:p w14:paraId="71642474" w14:textId="77777777" w:rsidR="00833787" w:rsidRPr="00125818" w:rsidRDefault="00833787" w:rsidP="00B86868">
            <w:pPr>
              <w:pStyle w:val="StandardOCAshurst"/>
              <w:jc w:val="center"/>
              <w:rPr>
                <w:b/>
              </w:rPr>
            </w:pPr>
            <w:r w:rsidRPr="00CB0316">
              <w:rPr>
                <w:bCs/>
              </w:rPr>
              <w:t>Hong Kong</w:t>
            </w:r>
          </w:p>
        </w:tc>
      </w:tr>
    </w:tbl>
    <w:p w14:paraId="2A7A445C" w14:textId="77777777" w:rsidR="00F13F6A" w:rsidRPr="00125818" w:rsidRDefault="00F13F6A" w:rsidP="00F13F6A">
      <w:pPr>
        <w:pStyle w:val="NormalAshurst"/>
        <w:spacing w:line="288" w:lineRule="auto"/>
        <w:rPr>
          <w:rFonts w:ascii="Times New Roman" w:hAnsi="Times New Roman" w:cs="Times New Roman"/>
          <w:sz w:val="20"/>
        </w:rPr>
      </w:pPr>
    </w:p>
    <w:p w14:paraId="1E201ADA" w14:textId="77777777" w:rsidR="00ED71DB" w:rsidRPr="00125818" w:rsidRDefault="00E23414" w:rsidP="00D3250D">
      <w:pPr>
        <w:pStyle w:val="NormalAshurst"/>
        <w:rPr>
          <w:rFonts w:ascii="Times New Roman" w:hAnsi="Times New Roman" w:cs="Times New Roman"/>
        </w:rPr>
      </w:pPr>
    </w:p>
    <w:p w14:paraId="50B2E1AE" w14:textId="77777777" w:rsidR="00D3250D" w:rsidRPr="00125818" w:rsidRDefault="00E23414" w:rsidP="00D3250D">
      <w:pPr>
        <w:pStyle w:val="NormalAshurst"/>
        <w:rPr>
          <w:rFonts w:ascii="Times New Roman" w:hAnsi="Times New Roman" w:cs="Times New Roman"/>
        </w:rPr>
      </w:pPr>
    </w:p>
    <w:sectPr w:rsidR="00D3250D" w:rsidRPr="00125818" w:rsidSect="0076470E">
      <w:pgSz w:w="11907" w:h="16840" w:code="9"/>
      <w:pgMar w:top="1440" w:right="1440" w:bottom="1440" w:left="1440" w:header="720" w:footer="720" w:gutter="0"/>
      <w:cols w:space="720"/>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7E95F0" w14:textId="77777777" w:rsidR="006F7E4E" w:rsidRDefault="00CF363F">
      <w:pPr>
        <w:spacing w:line="240" w:lineRule="auto"/>
      </w:pPr>
      <w:r>
        <w:separator/>
      </w:r>
    </w:p>
  </w:endnote>
  <w:endnote w:type="continuationSeparator" w:id="0">
    <w:p w14:paraId="338F6D0F" w14:textId="77777777" w:rsidR="006F7E4E" w:rsidRDefault="00CF363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Microsoft JhengHei">
    <w:panose1 w:val="020B0604030504040204"/>
    <w:charset w:val="88"/>
    <w:family w:val="swiss"/>
    <w:pitch w:val="variable"/>
    <w:sig w:usb0="000002A7" w:usb1="28CF4400" w:usb2="00000016" w:usb3="00000000" w:csb0="00100009" w:csb1="00000000"/>
  </w:font>
  <w:font w:name="Noto Naskh Arabic">
    <w:altName w:val="Arial"/>
    <w:panose1 w:val="020B0502040504020204"/>
    <w:charset w:val="00"/>
    <w:family w:val="swiss"/>
    <w:pitch w:val="variable"/>
    <w:sig w:usb0="00002003" w:usb1="80000000" w:usb2="00000008" w:usb3="00000000" w:csb0="0000004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1C96B9" w14:textId="77777777" w:rsidR="00ED1699" w:rsidRDefault="00ED169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0" w:type="dxa"/>
        <w:right w:w="0" w:type="dxa"/>
      </w:tblCellMar>
      <w:tblLook w:val="01E0" w:firstRow="1" w:lastRow="1" w:firstColumn="1" w:lastColumn="1" w:noHBand="0" w:noVBand="0"/>
    </w:tblPr>
    <w:tblGrid>
      <w:gridCol w:w="2766"/>
      <w:gridCol w:w="2766"/>
      <w:gridCol w:w="2775"/>
    </w:tblGrid>
    <w:tr w:rsidR="004D4D38" w14:paraId="4A06645F" w14:textId="77777777">
      <w:tc>
        <w:tcPr>
          <w:tcW w:w="1665" w:type="pct"/>
        </w:tcPr>
        <w:p w14:paraId="23200BD7" w14:textId="77777777" w:rsidR="006A0136" w:rsidRPr="006D764B" w:rsidRDefault="00E23414">
          <w:pPr>
            <w:pStyle w:val="Footer"/>
          </w:pPr>
        </w:p>
      </w:tc>
      <w:tc>
        <w:tcPr>
          <w:tcW w:w="1665" w:type="pct"/>
        </w:tcPr>
        <w:p w14:paraId="1F72FB5E" w14:textId="77777777" w:rsidR="006A0136" w:rsidRPr="00111806" w:rsidRDefault="00E23414" w:rsidP="00C03739">
          <w:pPr>
            <w:pStyle w:val="StandardAshurst"/>
            <w:jc w:val="center"/>
            <w:rPr>
              <w:rStyle w:val="PageNumber"/>
              <w:rFonts w:ascii="Times New Roman" w:hAnsi="Times New Roman"/>
            </w:rPr>
          </w:pPr>
        </w:p>
      </w:tc>
      <w:tc>
        <w:tcPr>
          <w:tcW w:w="1670" w:type="pct"/>
        </w:tcPr>
        <w:p w14:paraId="19220AD6" w14:textId="77777777" w:rsidR="006A0136" w:rsidRPr="006D764B" w:rsidRDefault="00E23414">
          <w:pPr>
            <w:pStyle w:val="Footer"/>
          </w:pPr>
        </w:p>
      </w:tc>
    </w:tr>
    <w:tr w:rsidR="004D4D38" w14:paraId="6B6437FF" w14:textId="77777777">
      <w:tc>
        <w:tcPr>
          <w:tcW w:w="5000" w:type="pct"/>
          <w:gridSpan w:val="3"/>
        </w:tcPr>
        <w:p w14:paraId="724565ED" w14:textId="089E3129" w:rsidR="006A0136" w:rsidRPr="007A4167" w:rsidRDefault="000D436B" w:rsidP="000D436B">
          <w:pPr>
            <w:pStyle w:val="Footer"/>
            <w:jc w:val="center"/>
            <w:rPr>
              <w:rFonts w:ascii="Times New Roman" w:hAnsi="Times New Roman"/>
            </w:rPr>
          </w:pPr>
          <w:r w:rsidRPr="007A4167">
            <w:rPr>
              <w:rStyle w:val="PageNumber"/>
              <w:rFonts w:ascii="Times New Roman" w:hAnsi="Times New Roman" w:cs="Times New Roman"/>
            </w:rPr>
            <w:fldChar w:fldCharType="begin"/>
          </w:r>
          <w:r w:rsidRPr="007A4167">
            <w:rPr>
              <w:rStyle w:val="PageNumber"/>
              <w:rFonts w:ascii="Times New Roman" w:hAnsi="Times New Roman" w:cs="Times New Roman"/>
            </w:rPr>
            <w:instrText xml:space="preserve"> PAGE  \* MERGEFORMAT </w:instrText>
          </w:r>
          <w:r w:rsidRPr="007A4167">
            <w:rPr>
              <w:rStyle w:val="PageNumber"/>
              <w:rFonts w:ascii="Times New Roman" w:hAnsi="Times New Roman" w:cs="Times New Roman"/>
            </w:rPr>
            <w:fldChar w:fldCharType="separate"/>
          </w:r>
          <w:r w:rsidRPr="007A4167">
            <w:rPr>
              <w:rStyle w:val="PageNumber"/>
              <w:rFonts w:ascii="Times New Roman" w:hAnsi="Times New Roman" w:cs="Times New Roman"/>
            </w:rPr>
            <w:t>2</w:t>
          </w:r>
          <w:r w:rsidRPr="007A4167">
            <w:rPr>
              <w:rStyle w:val="PageNumber"/>
              <w:rFonts w:ascii="Times New Roman" w:hAnsi="Times New Roman" w:cs="Times New Roman"/>
            </w:rPr>
            <w:fldChar w:fldCharType="end"/>
          </w:r>
        </w:p>
      </w:tc>
    </w:tr>
  </w:tbl>
  <w:p w14:paraId="7EC5180F" w14:textId="77777777" w:rsidR="006A0136" w:rsidRPr="00454A6C" w:rsidRDefault="00E23414" w:rsidP="007A17D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0FB818" w14:textId="77777777" w:rsidR="00ED1699" w:rsidRDefault="00ED1699">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0" w:type="dxa"/>
        <w:right w:w="0" w:type="dxa"/>
      </w:tblCellMar>
      <w:tblLook w:val="01E0" w:firstRow="1" w:lastRow="1" w:firstColumn="1" w:lastColumn="1" w:noHBand="0" w:noVBand="0"/>
    </w:tblPr>
    <w:tblGrid>
      <w:gridCol w:w="2766"/>
      <w:gridCol w:w="2766"/>
      <w:gridCol w:w="2775"/>
    </w:tblGrid>
    <w:tr w:rsidR="004D4D38" w14:paraId="770C7537" w14:textId="77777777">
      <w:tc>
        <w:tcPr>
          <w:tcW w:w="1665" w:type="pct"/>
        </w:tcPr>
        <w:p w14:paraId="7316CB38" w14:textId="77777777" w:rsidR="00F538CF" w:rsidRPr="00F538CF" w:rsidRDefault="00E23414">
          <w:pPr>
            <w:pStyle w:val="Footer"/>
          </w:pPr>
        </w:p>
      </w:tc>
      <w:tc>
        <w:tcPr>
          <w:tcW w:w="1665" w:type="pct"/>
        </w:tcPr>
        <w:p w14:paraId="4C7F10AA" w14:textId="77777777" w:rsidR="00F538CF" w:rsidRPr="00F538CF" w:rsidRDefault="00CF363F" w:rsidP="0005548B">
          <w:pPr>
            <w:pStyle w:val="StandardAshurst"/>
            <w:jc w:val="center"/>
            <w:rPr>
              <w:rStyle w:val="PageNumber"/>
            </w:rPr>
          </w:pPr>
          <w:r w:rsidRPr="00F538CF">
            <w:rPr>
              <w:rStyle w:val="PageNumber"/>
            </w:rPr>
            <w:fldChar w:fldCharType="begin"/>
          </w:r>
          <w:r w:rsidRPr="00F538CF">
            <w:rPr>
              <w:rStyle w:val="PageNumber"/>
            </w:rPr>
            <w:instrText xml:space="preserve"> PAGE  \* MERGEFORMAT </w:instrText>
          </w:r>
          <w:r w:rsidRPr="00F538CF">
            <w:rPr>
              <w:rStyle w:val="PageNumber"/>
            </w:rPr>
            <w:fldChar w:fldCharType="separate"/>
          </w:r>
          <w:r w:rsidRPr="00F538CF">
            <w:rPr>
              <w:rStyle w:val="PageNumber"/>
              <w:noProof/>
            </w:rPr>
            <w:t>1</w:t>
          </w:r>
          <w:r w:rsidRPr="00F538CF">
            <w:rPr>
              <w:rStyle w:val="PageNumber"/>
            </w:rPr>
            <w:fldChar w:fldCharType="end"/>
          </w:r>
        </w:p>
      </w:tc>
      <w:tc>
        <w:tcPr>
          <w:tcW w:w="1670" w:type="pct"/>
        </w:tcPr>
        <w:p w14:paraId="41AF2432" w14:textId="77777777" w:rsidR="00F538CF" w:rsidRPr="00F538CF" w:rsidRDefault="00E23414">
          <w:pPr>
            <w:pStyle w:val="Footer"/>
          </w:pPr>
        </w:p>
      </w:tc>
    </w:tr>
    <w:tr w:rsidR="004D4D38" w14:paraId="0FE5F74A" w14:textId="77777777">
      <w:tc>
        <w:tcPr>
          <w:tcW w:w="5000" w:type="pct"/>
          <w:gridSpan w:val="3"/>
        </w:tcPr>
        <w:p w14:paraId="33F9C421" w14:textId="408EB786" w:rsidR="00F538CF" w:rsidRPr="00F538CF" w:rsidRDefault="00CF363F">
          <w:pPr>
            <w:pStyle w:val="Footer"/>
          </w:pPr>
          <w:r w:rsidRPr="00F538CF">
            <w:fldChar w:fldCharType="begin"/>
          </w:r>
          <w:r>
            <w:instrText xml:space="preserve"> DOCPROPERTY  ashurstDocRef  \* MERGEFORMAT </w:instrText>
          </w:r>
          <w:r w:rsidRPr="00F538CF">
            <w:fldChar w:fldCharType="separate"/>
          </w:r>
          <w:r w:rsidR="00B344F6">
            <w:t>17:43\20 June 2023\</w:t>
          </w:r>
          <w:proofErr w:type="spellStart"/>
          <w:r w:rsidR="00B344F6">
            <w:t>EUS_ONPREM</w:t>
          </w:r>
          <w:proofErr w:type="spellEnd"/>
          <w:r w:rsidR="00B344F6">
            <w:t>\</w:t>
          </w:r>
          <w:proofErr w:type="spellStart"/>
          <w:r w:rsidR="00B344F6">
            <w:t>JYOW</w:t>
          </w:r>
          <w:proofErr w:type="spellEnd"/>
          <w:r w:rsidR="00B344F6">
            <w:t>\361153032.01</w:t>
          </w:r>
          <w:r w:rsidRPr="00F538CF">
            <w:fldChar w:fldCharType="end"/>
          </w:r>
        </w:p>
      </w:tc>
    </w:tr>
  </w:tbl>
  <w:p w14:paraId="044C886F" w14:textId="77777777" w:rsidR="00DB2040" w:rsidRPr="00F538CF" w:rsidRDefault="00E23414" w:rsidP="00F538CF">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0" w:type="dxa"/>
        <w:right w:w="0" w:type="dxa"/>
      </w:tblCellMar>
      <w:tblLook w:val="01E0" w:firstRow="1" w:lastRow="1" w:firstColumn="1" w:lastColumn="1" w:noHBand="0" w:noVBand="0"/>
    </w:tblPr>
    <w:tblGrid>
      <w:gridCol w:w="3006"/>
      <w:gridCol w:w="3006"/>
      <w:gridCol w:w="3015"/>
    </w:tblGrid>
    <w:tr w:rsidR="004D4D38" w:rsidRPr="007A4167" w14:paraId="230BB258" w14:textId="77777777">
      <w:tc>
        <w:tcPr>
          <w:tcW w:w="1665" w:type="pct"/>
        </w:tcPr>
        <w:p w14:paraId="294923A1" w14:textId="77777777" w:rsidR="00F538CF" w:rsidRPr="007A4167" w:rsidRDefault="00E23414">
          <w:pPr>
            <w:pStyle w:val="Footer"/>
            <w:rPr>
              <w:rFonts w:ascii="Times New Roman" w:hAnsi="Times New Roman"/>
            </w:rPr>
          </w:pPr>
        </w:p>
      </w:tc>
      <w:tc>
        <w:tcPr>
          <w:tcW w:w="1665" w:type="pct"/>
        </w:tcPr>
        <w:p w14:paraId="75E88EB5" w14:textId="77777777" w:rsidR="00F538CF" w:rsidRPr="007A4167" w:rsidRDefault="00CF363F" w:rsidP="0005548B">
          <w:pPr>
            <w:pStyle w:val="StandardAshurst"/>
            <w:jc w:val="center"/>
            <w:rPr>
              <w:rStyle w:val="PageNumber"/>
              <w:rFonts w:ascii="Times New Roman" w:hAnsi="Times New Roman" w:cs="Times New Roman"/>
            </w:rPr>
          </w:pPr>
          <w:r w:rsidRPr="007A4167">
            <w:rPr>
              <w:rStyle w:val="PageNumber"/>
              <w:rFonts w:ascii="Times New Roman" w:hAnsi="Times New Roman" w:cs="Times New Roman"/>
            </w:rPr>
            <w:fldChar w:fldCharType="begin"/>
          </w:r>
          <w:r w:rsidRPr="007A4167">
            <w:rPr>
              <w:rStyle w:val="PageNumber"/>
              <w:rFonts w:ascii="Times New Roman" w:hAnsi="Times New Roman" w:cs="Times New Roman"/>
            </w:rPr>
            <w:instrText xml:space="preserve"> PAGE  \* MERGEFORMAT </w:instrText>
          </w:r>
          <w:r w:rsidRPr="007A4167">
            <w:rPr>
              <w:rStyle w:val="PageNumber"/>
              <w:rFonts w:ascii="Times New Roman" w:hAnsi="Times New Roman" w:cs="Times New Roman"/>
            </w:rPr>
            <w:fldChar w:fldCharType="separate"/>
          </w:r>
          <w:r w:rsidRPr="007A4167">
            <w:rPr>
              <w:rStyle w:val="PageNumber"/>
              <w:rFonts w:ascii="Times New Roman" w:hAnsi="Times New Roman" w:cs="Times New Roman"/>
              <w:noProof/>
            </w:rPr>
            <w:t>1</w:t>
          </w:r>
          <w:r w:rsidRPr="007A4167">
            <w:rPr>
              <w:rStyle w:val="PageNumber"/>
              <w:rFonts w:ascii="Times New Roman" w:hAnsi="Times New Roman" w:cs="Times New Roman"/>
            </w:rPr>
            <w:fldChar w:fldCharType="end"/>
          </w:r>
        </w:p>
      </w:tc>
      <w:tc>
        <w:tcPr>
          <w:tcW w:w="1670" w:type="pct"/>
        </w:tcPr>
        <w:p w14:paraId="75B7B0EF" w14:textId="77777777" w:rsidR="00F538CF" w:rsidRPr="007A4167" w:rsidRDefault="00E23414">
          <w:pPr>
            <w:pStyle w:val="Footer"/>
            <w:rPr>
              <w:rFonts w:ascii="Times New Roman" w:hAnsi="Times New Roman"/>
            </w:rPr>
          </w:pPr>
        </w:p>
      </w:tc>
    </w:tr>
    <w:tr w:rsidR="004D4D38" w:rsidRPr="007A4167" w14:paraId="40E413AC" w14:textId="77777777">
      <w:tc>
        <w:tcPr>
          <w:tcW w:w="5000" w:type="pct"/>
          <w:gridSpan w:val="3"/>
        </w:tcPr>
        <w:p w14:paraId="12C594A4" w14:textId="77777777" w:rsidR="00F538CF" w:rsidRPr="007A4167" w:rsidRDefault="00E23414">
          <w:pPr>
            <w:pStyle w:val="Footer"/>
            <w:rPr>
              <w:rFonts w:ascii="Times New Roman" w:hAnsi="Times New Roman"/>
            </w:rPr>
          </w:pPr>
        </w:p>
      </w:tc>
    </w:tr>
  </w:tbl>
  <w:p w14:paraId="08D37AE4" w14:textId="77777777" w:rsidR="00DB2040" w:rsidRPr="007A4167" w:rsidRDefault="00E23414" w:rsidP="00F538CF">
    <w:pPr>
      <w:pStyle w:val="Footer"/>
      <w:rPr>
        <w:rFonts w:ascii="Times New Roman" w:hAnsi="Times New Roman"/>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0" w:type="dxa"/>
        <w:right w:w="0" w:type="dxa"/>
      </w:tblCellMar>
      <w:tblLook w:val="01E0" w:firstRow="1" w:lastRow="1" w:firstColumn="1" w:lastColumn="1" w:noHBand="0" w:noVBand="0"/>
    </w:tblPr>
    <w:tblGrid>
      <w:gridCol w:w="3006"/>
      <w:gridCol w:w="3006"/>
      <w:gridCol w:w="3015"/>
    </w:tblGrid>
    <w:tr w:rsidR="004D4D38" w14:paraId="60D3CD33" w14:textId="77777777">
      <w:tc>
        <w:tcPr>
          <w:tcW w:w="1665" w:type="pct"/>
        </w:tcPr>
        <w:p w14:paraId="000C8736" w14:textId="77777777" w:rsidR="00F538CF" w:rsidRPr="00F538CF" w:rsidRDefault="00E23414">
          <w:pPr>
            <w:pStyle w:val="Footer"/>
          </w:pPr>
        </w:p>
      </w:tc>
      <w:tc>
        <w:tcPr>
          <w:tcW w:w="1665" w:type="pct"/>
        </w:tcPr>
        <w:p w14:paraId="7BABE560" w14:textId="77777777" w:rsidR="00F538CF" w:rsidRPr="00F538CF" w:rsidRDefault="00CF363F" w:rsidP="0005548B">
          <w:pPr>
            <w:pStyle w:val="StandardAshurst"/>
            <w:jc w:val="center"/>
            <w:rPr>
              <w:rStyle w:val="PageNumber"/>
            </w:rPr>
          </w:pPr>
          <w:r w:rsidRPr="00F538CF">
            <w:rPr>
              <w:rStyle w:val="PageNumber"/>
            </w:rPr>
            <w:fldChar w:fldCharType="begin"/>
          </w:r>
          <w:r w:rsidRPr="00F538CF">
            <w:rPr>
              <w:rStyle w:val="PageNumber"/>
            </w:rPr>
            <w:instrText xml:space="preserve"> PAGE  \* MERGEFORMAT </w:instrText>
          </w:r>
          <w:r w:rsidRPr="00F538CF">
            <w:rPr>
              <w:rStyle w:val="PageNumber"/>
            </w:rPr>
            <w:fldChar w:fldCharType="separate"/>
          </w:r>
          <w:r w:rsidRPr="00F538CF">
            <w:rPr>
              <w:rStyle w:val="PageNumber"/>
              <w:noProof/>
            </w:rPr>
            <w:t>1</w:t>
          </w:r>
          <w:r w:rsidRPr="00F538CF">
            <w:rPr>
              <w:rStyle w:val="PageNumber"/>
            </w:rPr>
            <w:fldChar w:fldCharType="end"/>
          </w:r>
        </w:p>
      </w:tc>
      <w:tc>
        <w:tcPr>
          <w:tcW w:w="1670" w:type="pct"/>
        </w:tcPr>
        <w:p w14:paraId="0C8B8E03" w14:textId="77777777" w:rsidR="00F538CF" w:rsidRPr="00F538CF" w:rsidRDefault="00E23414">
          <w:pPr>
            <w:pStyle w:val="Footer"/>
          </w:pPr>
        </w:p>
      </w:tc>
    </w:tr>
    <w:tr w:rsidR="004D4D38" w14:paraId="54897B73" w14:textId="77777777">
      <w:tc>
        <w:tcPr>
          <w:tcW w:w="5000" w:type="pct"/>
          <w:gridSpan w:val="3"/>
        </w:tcPr>
        <w:p w14:paraId="3873FBA3" w14:textId="605FA3C9" w:rsidR="00F538CF" w:rsidRPr="00F538CF" w:rsidRDefault="00CF363F">
          <w:pPr>
            <w:pStyle w:val="Footer"/>
          </w:pPr>
          <w:r w:rsidRPr="00F538CF">
            <w:fldChar w:fldCharType="begin"/>
          </w:r>
          <w:r>
            <w:instrText xml:space="preserve"> DOCPROPERTY  ashurstDocRef  \* MERGEFORMAT </w:instrText>
          </w:r>
          <w:r w:rsidRPr="00F538CF">
            <w:fldChar w:fldCharType="separate"/>
          </w:r>
          <w:r w:rsidR="00B344F6">
            <w:t>17:43\20 June 2023\</w:t>
          </w:r>
          <w:proofErr w:type="spellStart"/>
          <w:r w:rsidR="00B344F6">
            <w:t>EUS_ONPREM</w:t>
          </w:r>
          <w:proofErr w:type="spellEnd"/>
          <w:r w:rsidR="00B344F6">
            <w:t>\</w:t>
          </w:r>
          <w:proofErr w:type="spellStart"/>
          <w:r w:rsidR="00B344F6">
            <w:t>JYOW</w:t>
          </w:r>
          <w:proofErr w:type="spellEnd"/>
          <w:r w:rsidR="00B344F6">
            <w:t>\361153032.01</w:t>
          </w:r>
          <w:r w:rsidRPr="00F538CF">
            <w:fldChar w:fldCharType="end"/>
          </w:r>
        </w:p>
      </w:tc>
    </w:tr>
  </w:tbl>
  <w:p w14:paraId="3951BF72" w14:textId="77777777" w:rsidR="00DB2040" w:rsidRPr="00F538CF" w:rsidRDefault="00E23414" w:rsidP="00F538C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A0FED0" w14:textId="77777777" w:rsidR="006F7E4E" w:rsidRDefault="00CF363F">
      <w:pPr>
        <w:spacing w:line="240" w:lineRule="auto"/>
      </w:pPr>
      <w:r>
        <w:separator/>
      </w:r>
    </w:p>
  </w:footnote>
  <w:footnote w:type="continuationSeparator" w:id="0">
    <w:p w14:paraId="4049BA24" w14:textId="77777777" w:rsidR="006F7E4E" w:rsidRDefault="00CF363F">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FFEFCE" w14:textId="77777777" w:rsidR="00ED1699" w:rsidRDefault="00ED169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183851" w14:textId="77777777" w:rsidR="006A0136" w:rsidRPr="004D1F7F" w:rsidRDefault="00E23414" w:rsidP="00857A08">
    <w:pPr>
      <w:pStyle w:val="Header"/>
      <w:jc w:val="right"/>
      <w:rPr>
        <w:rFonts w:asciiTheme="majorBidi" w:hAnsiTheme="majorBidi" w:cstheme="majorBidi"/>
        <w:b/>
        <w:sz w:val="20"/>
        <w:szCs w:val="2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6F1ACF" w14:textId="77777777" w:rsidR="00ED1699" w:rsidRDefault="00ED1699">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2CBF0F" w14:textId="77777777" w:rsidR="00DB2040" w:rsidRPr="00F538CF" w:rsidRDefault="00E23414">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1AEA44" w14:textId="77777777" w:rsidR="00DB2040" w:rsidRPr="00F538CF" w:rsidRDefault="00E23414">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166A32" w14:textId="77777777" w:rsidR="00DB2040" w:rsidRPr="00F538CF" w:rsidRDefault="00E2341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D12240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EFE1C4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2E8823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BA34F08C"/>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0E764AAA"/>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B5E9758"/>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A1C9DF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B28B4B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976AF5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170070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3E17314"/>
    <w:multiLevelType w:val="multilevel"/>
    <w:tmpl w:val="C816984C"/>
    <w:lvl w:ilvl="0">
      <w:start w:val="1"/>
      <w:numFmt w:val="decimal"/>
      <w:pStyle w:val="APPENDIXAshurst"/>
      <w:suff w:val="nothing"/>
      <w:lvlText w:val="appendix %1"/>
      <w:lvlJc w:val="left"/>
      <w:pPr>
        <w:ind w:left="0" w:firstLine="0"/>
      </w:pPr>
      <w:rPr>
        <w:rFonts w:hint="default"/>
        <w:b/>
        <w:i w:val="0"/>
        <w:sz w:val="18"/>
        <w:szCs w:val="18"/>
      </w:rPr>
    </w:lvl>
    <w:lvl w:ilvl="1">
      <w:start w:val="1"/>
      <w:numFmt w:val="none"/>
      <w:lvlRestart w:val="0"/>
      <w:suff w:val="nothing"/>
      <w:lvlText w:val=""/>
      <w:lvlJc w:val="left"/>
      <w:pPr>
        <w:ind w:left="0" w:firstLine="0"/>
      </w:pPr>
      <w:rPr>
        <w:rFonts w:hint="default"/>
        <w:b w:val="0"/>
        <w:i w:val="0"/>
        <w:sz w:val="18"/>
        <w:szCs w:val="18"/>
        <w:u w:val="none"/>
      </w:rPr>
    </w:lvl>
    <w:lvl w:ilvl="2">
      <w:start w:val="1"/>
      <w:numFmt w:val="none"/>
      <w:lvlRestart w:val="0"/>
      <w:suff w:val="nothing"/>
      <w:lvlText w:val=""/>
      <w:lvlJc w:val="left"/>
      <w:pPr>
        <w:ind w:left="0" w:firstLine="0"/>
      </w:pPr>
      <w:rPr>
        <w:rFonts w:hint="default"/>
        <w:b w:val="0"/>
        <w:i w:val="0"/>
        <w:caps w:val="0"/>
        <w:smallCaps w:val="0"/>
        <w:sz w:val="18"/>
        <w:u w:val="none"/>
      </w:rPr>
    </w:lvl>
    <w:lvl w:ilvl="3">
      <w:start w:val="1"/>
      <w:numFmt w:val="none"/>
      <w:lvlRestart w:val="0"/>
      <w:suff w:val="nothing"/>
      <w:lvlText w:val=""/>
      <w:lvlJc w:val="left"/>
      <w:pPr>
        <w:ind w:left="0" w:firstLine="0"/>
      </w:pPr>
      <w:rPr>
        <w:rFonts w:hint="default"/>
        <w:b w:val="0"/>
        <w:i w:val="0"/>
        <w:caps w:val="0"/>
        <w:smallCaps w:val="0"/>
        <w:sz w:val="18"/>
        <w:u w:val="none"/>
      </w:rPr>
    </w:lvl>
    <w:lvl w:ilvl="4">
      <w:start w:val="1"/>
      <w:numFmt w:val="none"/>
      <w:lvlRestart w:val="0"/>
      <w:suff w:val="nothing"/>
      <w:lvlText w:val=""/>
      <w:lvlJc w:val="left"/>
      <w:pPr>
        <w:ind w:left="0" w:firstLine="0"/>
      </w:pPr>
      <w:rPr>
        <w:rFonts w:hint="default"/>
        <w:b w:val="0"/>
        <w:i w:val="0"/>
        <w:caps/>
        <w:sz w:val="18"/>
        <w:u w:val="none"/>
      </w:rPr>
    </w:lvl>
    <w:lvl w:ilvl="5">
      <w:start w:val="27"/>
      <w:numFmt w:val="none"/>
      <w:lvlRestart w:val="0"/>
      <w:suff w:val="nothing"/>
      <w:lvlText w:val=""/>
      <w:lvlJc w:val="left"/>
      <w:pPr>
        <w:ind w:left="0" w:firstLine="0"/>
      </w:pPr>
      <w:rPr>
        <w:rFonts w:hint="default"/>
        <w:b w:val="0"/>
        <w:i w:val="0"/>
        <w:caps w:val="0"/>
        <w:sz w:val="18"/>
        <w:szCs w:val="18"/>
      </w:rPr>
    </w:lvl>
    <w:lvl w:ilvl="6">
      <w:start w:val="1"/>
      <w:numFmt w:val="none"/>
      <w:lvlRestart w:val="0"/>
      <w:suff w:val="nothing"/>
      <w:lvlText w:val=""/>
      <w:lvlJc w:val="left"/>
      <w:pPr>
        <w:ind w:left="0" w:firstLine="0"/>
      </w:pPr>
      <w:rPr>
        <w:rFonts w:ascii="Times New Roman" w:hAnsi="Times New Roman" w:hint="default"/>
        <w:b w:val="0"/>
        <w:i w:val="0"/>
      </w:rPr>
    </w:lvl>
    <w:lvl w:ilvl="7">
      <w:start w:val="1"/>
      <w:numFmt w:val="none"/>
      <w:lvlRestart w:val="0"/>
      <w:suff w:val="nothing"/>
      <w:lvlText w:val=""/>
      <w:lvlJc w:val="left"/>
      <w:pPr>
        <w:ind w:left="0" w:firstLine="0"/>
      </w:pPr>
      <w:rPr>
        <w:rFonts w:ascii="Times New Roman" w:hAnsi="Times New Roman" w:hint="default"/>
        <w:b w:val="0"/>
        <w:i w:val="0"/>
      </w:rPr>
    </w:lvl>
    <w:lvl w:ilvl="8">
      <w:start w:val="1"/>
      <w:numFmt w:val="none"/>
      <w:lvlRestart w:val="0"/>
      <w:suff w:val="nothing"/>
      <w:lvlText w:val=""/>
      <w:lvlJc w:val="left"/>
      <w:pPr>
        <w:ind w:left="0" w:firstLine="0"/>
      </w:pPr>
      <w:rPr>
        <w:rFonts w:ascii="Times New Roman" w:hAnsi="Times New Roman" w:hint="default"/>
        <w:b w:val="0"/>
        <w:i w:val="0"/>
      </w:rPr>
    </w:lvl>
  </w:abstractNum>
  <w:abstractNum w:abstractNumId="11" w15:restartNumberingAfterBreak="0">
    <w:nsid w:val="0640642B"/>
    <w:multiLevelType w:val="hybridMultilevel"/>
    <w:tmpl w:val="F0C68248"/>
    <w:lvl w:ilvl="0" w:tplc="51769390">
      <w:start w:val="1"/>
      <w:numFmt w:val="lowerLetter"/>
      <w:lvlText w:val="(%1)"/>
      <w:lvlJc w:val="left"/>
      <w:pPr>
        <w:ind w:left="1429"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094A0D3F"/>
    <w:multiLevelType w:val="hybridMultilevel"/>
    <w:tmpl w:val="3968D1D6"/>
    <w:lvl w:ilvl="0" w:tplc="8BB29714">
      <w:start w:val="1"/>
      <w:numFmt w:val="bullet"/>
      <w:pStyle w:val="Bullet2Ashurst"/>
      <w:lvlText w:val=""/>
      <w:lvlJc w:val="left"/>
      <w:pPr>
        <w:tabs>
          <w:tab w:val="num" w:pos="1406"/>
        </w:tabs>
        <w:ind w:left="1406" w:hanging="624"/>
      </w:pPr>
      <w:rPr>
        <w:rFonts w:ascii="Symbol" w:hAnsi="Symbol" w:hint="default"/>
        <w:b w:val="0"/>
        <w:i w:val="0"/>
        <w:sz w:val="18"/>
        <w:szCs w:val="18"/>
      </w:rPr>
    </w:lvl>
    <w:lvl w:ilvl="1" w:tplc="76449B60" w:tentative="1">
      <w:start w:val="1"/>
      <w:numFmt w:val="bullet"/>
      <w:lvlText w:val="o"/>
      <w:lvlJc w:val="left"/>
      <w:pPr>
        <w:tabs>
          <w:tab w:val="num" w:pos="1440"/>
        </w:tabs>
        <w:ind w:left="1440" w:hanging="360"/>
      </w:pPr>
      <w:rPr>
        <w:rFonts w:ascii="Courier New" w:hAnsi="Courier New" w:cs="Courier New" w:hint="default"/>
      </w:rPr>
    </w:lvl>
    <w:lvl w:ilvl="2" w:tplc="3EEE98A0" w:tentative="1">
      <w:start w:val="1"/>
      <w:numFmt w:val="bullet"/>
      <w:lvlText w:val=""/>
      <w:lvlJc w:val="left"/>
      <w:pPr>
        <w:tabs>
          <w:tab w:val="num" w:pos="2160"/>
        </w:tabs>
        <w:ind w:left="2160" w:hanging="360"/>
      </w:pPr>
      <w:rPr>
        <w:rFonts w:ascii="Wingdings" w:hAnsi="Wingdings" w:hint="default"/>
      </w:rPr>
    </w:lvl>
    <w:lvl w:ilvl="3" w:tplc="DDE2C004" w:tentative="1">
      <w:start w:val="1"/>
      <w:numFmt w:val="bullet"/>
      <w:lvlText w:val=""/>
      <w:lvlJc w:val="left"/>
      <w:pPr>
        <w:tabs>
          <w:tab w:val="num" w:pos="2880"/>
        </w:tabs>
        <w:ind w:left="2880" w:hanging="360"/>
      </w:pPr>
      <w:rPr>
        <w:rFonts w:ascii="Symbol" w:hAnsi="Symbol" w:hint="default"/>
      </w:rPr>
    </w:lvl>
    <w:lvl w:ilvl="4" w:tplc="DE38C338" w:tentative="1">
      <w:start w:val="1"/>
      <w:numFmt w:val="bullet"/>
      <w:lvlText w:val="o"/>
      <w:lvlJc w:val="left"/>
      <w:pPr>
        <w:tabs>
          <w:tab w:val="num" w:pos="3600"/>
        </w:tabs>
        <w:ind w:left="3600" w:hanging="360"/>
      </w:pPr>
      <w:rPr>
        <w:rFonts w:ascii="Courier New" w:hAnsi="Courier New" w:cs="Courier New" w:hint="default"/>
      </w:rPr>
    </w:lvl>
    <w:lvl w:ilvl="5" w:tplc="DADCBA9C" w:tentative="1">
      <w:start w:val="1"/>
      <w:numFmt w:val="bullet"/>
      <w:lvlText w:val=""/>
      <w:lvlJc w:val="left"/>
      <w:pPr>
        <w:tabs>
          <w:tab w:val="num" w:pos="4320"/>
        </w:tabs>
        <w:ind w:left="4320" w:hanging="360"/>
      </w:pPr>
      <w:rPr>
        <w:rFonts w:ascii="Wingdings" w:hAnsi="Wingdings" w:hint="default"/>
      </w:rPr>
    </w:lvl>
    <w:lvl w:ilvl="6" w:tplc="8662CAB2" w:tentative="1">
      <w:start w:val="1"/>
      <w:numFmt w:val="bullet"/>
      <w:lvlText w:val=""/>
      <w:lvlJc w:val="left"/>
      <w:pPr>
        <w:tabs>
          <w:tab w:val="num" w:pos="5040"/>
        </w:tabs>
        <w:ind w:left="5040" w:hanging="360"/>
      </w:pPr>
      <w:rPr>
        <w:rFonts w:ascii="Symbol" w:hAnsi="Symbol" w:hint="default"/>
      </w:rPr>
    </w:lvl>
    <w:lvl w:ilvl="7" w:tplc="B7D29260" w:tentative="1">
      <w:start w:val="1"/>
      <w:numFmt w:val="bullet"/>
      <w:lvlText w:val="o"/>
      <w:lvlJc w:val="left"/>
      <w:pPr>
        <w:tabs>
          <w:tab w:val="num" w:pos="5760"/>
        </w:tabs>
        <w:ind w:left="5760" w:hanging="360"/>
      </w:pPr>
      <w:rPr>
        <w:rFonts w:ascii="Courier New" w:hAnsi="Courier New" w:cs="Courier New" w:hint="default"/>
      </w:rPr>
    </w:lvl>
    <w:lvl w:ilvl="8" w:tplc="0442D126"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A21331E"/>
    <w:multiLevelType w:val="multilevel"/>
    <w:tmpl w:val="F89AD8C6"/>
    <w:lvl w:ilvl="0">
      <w:start w:val="1"/>
      <w:numFmt w:val="decimal"/>
      <w:pStyle w:val="SCHEDULEAshurst"/>
      <w:suff w:val="nothing"/>
      <w:lvlText w:val="schedule %1"/>
      <w:lvlJc w:val="left"/>
      <w:pPr>
        <w:ind w:left="0" w:firstLine="0"/>
      </w:pPr>
      <w:rPr>
        <w:rFonts w:hint="default"/>
        <w:b/>
        <w:i w:val="0"/>
        <w:sz w:val="18"/>
      </w:rPr>
    </w:lvl>
    <w:lvl w:ilvl="1">
      <w:start w:val="1"/>
      <w:numFmt w:val="none"/>
      <w:lvlRestart w:val="0"/>
      <w:suff w:val="nothing"/>
      <w:lvlText w:val=""/>
      <w:lvlJc w:val="left"/>
      <w:pPr>
        <w:ind w:left="0" w:firstLine="0"/>
      </w:pPr>
      <w:rPr>
        <w:rFonts w:hint="default"/>
        <w:b w:val="0"/>
        <w:i w:val="0"/>
        <w:sz w:val="18"/>
        <w:szCs w:val="18"/>
        <w:u w:val="none"/>
      </w:rPr>
    </w:lvl>
    <w:lvl w:ilvl="2">
      <w:start w:val="1"/>
      <w:numFmt w:val="none"/>
      <w:lvlRestart w:val="0"/>
      <w:suff w:val="nothing"/>
      <w:lvlText w:val=""/>
      <w:lvlJc w:val="left"/>
      <w:pPr>
        <w:ind w:left="0" w:firstLine="0"/>
      </w:pPr>
      <w:rPr>
        <w:rFonts w:hint="default"/>
        <w:b w:val="0"/>
        <w:i w:val="0"/>
        <w:caps w:val="0"/>
        <w:smallCaps w:val="0"/>
        <w:sz w:val="18"/>
        <w:u w:val="none"/>
      </w:rPr>
    </w:lvl>
    <w:lvl w:ilvl="3">
      <w:start w:val="1"/>
      <w:numFmt w:val="none"/>
      <w:lvlRestart w:val="0"/>
      <w:suff w:val="nothing"/>
      <w:lvlText w:val=""/>
      <w:lvlJc w:val="left"/>
      <w:pPr>
        <w:ind w:left="0" w:firstLine="0"/>
      </w:pPr>
      <w:rPr>
        <w:rFonts w:hint="default"/>
        <w:b w:val="0"/>
        <w:i w:val="0"/>
        <w:caps w:val="0"/>
        <w:smallCaps w:val="0"/>
        <w:sz w:val="18"/>
        <w:u w:val="none"/>
      </w:rPr>
    </w:lvl>
    <w:lvl w:ilvl="4">
      <w:start w:val="1"/>
      <w:numFmt w:val="none"/>
      <w:lvlRestart w:val="0"/>
      <w:suff w:val="nothing"/>
      <w:lvlText w:val=""/>
      <w:lvlJc w:val="left"/>
      <w:pPr>
        <w:ind w:left="0" w:firstLine="0"/>
      </w:pPr>
      <w:rPr>
        <w:rFonts w:hint="default"/>
        <w:b w:val="0"/>
        <w:i w:val="0"/>
        <w:caps/>
        <w:sz w:val="18"/>
        <w:u w:val="none"/>
      </w:rPr>
    </w:lvl>
    <w:lvl w:ilvl="5">
      <w:start w:val="27"/>
      <w:numFmt w:val="none"/>
      <w:lvlRestart w:val="0"/>
      <w:suff w:val="nothing"/>
      <w:lvlText w:val=""/>
      <w:lvlJc w:val="left"/>
      <w:pPr>
        <w:ind w:left="0" w:firstLine="0"/>
      </w:pPr>
      <w:rPr>
        <w:rFonts w:hint="default"/>
        <w:b w:val="0"/>
        <w:i w:val="0"/>
        <w:caps w:val="0"/>
        <w:sz w:val="18"/>
        <w:szCs w:val="18"/>
      </w:rPr>
    </w:lvl>
    <w:lvl w:ilvl="6">
      <w:start w:val="1"/>
      <w:numFmt w:val="none"/>
      <w:lvlRestart w:val="0"/>
      <w:suff w:val="nothing"/>
      <w:lvlText w:val=""/>
      <w:lvlJc w:val="left"/>
      <w:pPr>
        <w:ind w:left="0" w:firstLine="0"/>
      </w:pPr>
      <w:rPr>
        <w:rFonts w:ascii="Times New Roman" w:hAnsi="Times New Roman" w:hint="default"/>
        <w:b w:val="0"/>
        <w:i w:val="0"/>
      </w:rPr>
    </w:lvl>
    <w:lvl w:ilvl="7">
      <w:start w:val="1"/>
      <w:numFmt w:val="none"/>
      <w:lvlRestart w:val="0"/>
      <w:suff w:val="nothing"/>
      <w:lvlText w:val=""/>
      <w:lvlJc w:val="left"/>
      <w:pPr>
        <w:ind w:left="0" w:firstLine="0"/>
      </w:pPr>
      <w:rPr>
        <w:rFonts w:ascii="Times New Roman" w:hAnsi="Times New Roman" w:hint="default"/>
        <w:b w:val="0"/>
        <w:i w:val="0"/>
      </w:rPr>
    </w:lvl>
    <w:lvl w:ilvl="8">
      <w:start w:val="1"/>
      <w:numFmt w:val="none"/>
      <w:lvlRestart w:val="0"/>
      <w:suff w:val="nothing"/>
      <w:lvlText w:val=""/>
      <w:lvlJc w:val="left"/>
      <w:pPr>
        <w:ind w:left="0" w:firstLine="0"/>
      </w:pPr>
      <w:rPr>
        <w:rFonts w:ascii="Times New Roman" w:hAnsi="Times New Roman" w:hint="default"/>
        <w:b w:val="0"/>
        <w:i w:val="0"/>
      </w:rPr>
    </w:lvl>
  </w:abstractNum>
  <w:abstractNum w:abstractNumId="14" w15:restartNumberingAfterBreak="0">
    <w:nsid w:val="0B3F2518"/>
    <w:multiLevelType w:val="multilevel"/>
    <w:tmpl w:val="026C2912"/>
    <w:name w:val="DefSubOC"/>
    <w:lvl w:ilvl="0">
      <w:start w:val="1"/>
      <w:numFmt w:val="none"/>
      <w:pStyle w:val="DefClauseOCAshurst"/>
      <w:suff w:val="nothing"/>
      <w:lvlText w:val=""/>
      <w:lvlJc w:val="left"/>
      <w:pPr>
        <w:ind w:left="0" w:firstLine="0"/>
      </w:pPr>
      <w:rPr>
        <w:rFonts w:hint="default"/>
      </w:rPr>
    </w:lvl>
    <w:lvl w:ilvl="1">
      <w:start w:val="1"/>
      <w:numFmt w:val="lowerLetter"/>
      <w:pStyle w:val="DefSubOCAshurst"/>
      <w:lvlText w:val="(%2)"/>
      <w:lvlJc w:val="left"/>
      <w:pPr>
        <w:tabs>
          <w:tab w:val="num" w:pos="709"/>
        </w:tabs>
        <w:ind w:left="709" w:hanging="709"/>
      </w:pPr>
      <w:rPr>
        <w:rFonts w:hint="default"/>
      </w:rPr>
    </w:lvl>
    <w:lvl w:ilvl="2">
      <w:start w:val="1"/>
      <w:numFmt w:val="lowerRoman"/>
      <w:pStyle w:val="DefSubSubOCAshurst"/>
      <w:lvlText w:val="(%3)"/>
      <w:lvlJc w:val="left"/>
      <w:pPr>
        <w:tabs>
          <w:tab w:val="num" w:pos="1276"/>
        </w:tabs>
        <w:ind w:left="1276" w:hanging="567"/>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15" w15:restartNumberingAfterBreak="0">
    <w:nsid w:val="0F5433D4"/>
    <w:multiLevelType w:val="multilevel"/>
    <w:tmpl w:val="08090023"/>
    <w:styleLink w:val="ArticleSection"/>
    <w:lvl w:ilvl="0">
      <w:start w:val="1"/>
      <w:numFmt w:val="upperRoman"/>
      <w:lvlText w:val="Article %1."/>
      <w:lvlJc w:val="left"/>
      <w:pPr>
        <w:ind w:left="0" w:firstLine="0"/>
      </w:pPr>
      <w:rPr>
        <w:rFonts w:asciiTheme="minorHAnsi" w:eastAsiaTheme="minorEastAsia" w:hAnsiTheme="minorHAnsi" w:cstheme="minorBidi"/>
        <w:szCs w:val="26"/>
      </w:r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6" w15:restartNumberingAfterBreak="0">
    <w:nsid w:val="10F77C36"/>
    <w:multiLevelType w:val="hybridMultilevel"/>
    <w:tmpl w:val="0804BDDA"/>
    <w:lvl w:ilvl="0" w:tplc="B558A194">
      <w:start w:val="1"/>
      <w:numFmt w:val="bullet"/>
      <w:pStyle w:val="Bullet1Ashurst"/>
      <w:lvlText w:val=""/>
      <w:lvlJc w:val="left"/>
      <w:pPr>
        <w:tabs>
          <w:tab w:val="num" w:pos="1406"/>
        </w:tabs>
        <w:ind w:left="1406" w:hanging="624"/>
      </w:pPr>
      <w:rPr>
        <w:rFonts w:ascii="Symbol" w:hAnsi="Symbol" w:hint="default"/>
        <w:b w:val="0"/>
        <w:i w:val="0"/>
        <w:sz w:val="18"/>
        <w:szCs w:val="18"/>
      </w:rPr>
    </w:lvl>
    <w:lvl w:ilvl="1" w:tplc="46FCBCA6" w:tentative="1">
      <w:start w:val="1"/>
      <w:numFmt w:val="bullet"/>
      <w:lvlText w:val="o"/>
      <w:lvlJc w:val="left"/>
      <w:pPr>
        <w:tabs>
          <w:tab w:val="num" w:pos="1440"/>
        </w:tabs>
        <w:ind w:left="1440" w:hanging="360"/>
      </w:pPr>
      <w:rPr>
        <w:rFonts w:ascii="Courier New" w:hAnsi="Courier New" w:cs="Courier New" w:hint="default"/>
      </w:rPr>
    </w:lvl>
    <w:lvl w:ilvl="2" w:tplc="D2DCCEA2" w:tentative="1">
      <w:start w:val="1"/>
      <w:numFmt w:val="bullet"/>
      <w:lvlText w:val=""/>
      <w:lvlJc w:val="left"/>
      <w:pPr>
        <w:tabs>
          <w:tab w:val="num" w:pos="2160"/>
        </w:tabs>
        <w:ind w:left="2160" w:hanging="360"/>
      </w:pPr>
      <w:rPr>
        <w:rFonts w:ascii="Wingdings" w:hAnsi="Wingdings" w:hint="default"/>
      </w:rPr>
    </w:lvl>
    <w:lvl w:ilvl="3" w:tplc="D4704AF8" w:tentative="1">
      <w:start w:val="1"/>
      <w:numFmt w:val="bullet"/>
      <w:lvlText w:val=""/>
      <w:lvlJc w:val="left"/>
      <w:pPr>
        <w:tabs>
          <w:tab w:val="num" w:pos="2880"/>
        </w:tabs>
        <w:ind w:left="2880" w:hanging="360"/>
      </w:pPr>
      <w:rPr>
        <w:rFonts w:ascii="Symbol" w:hAnsi="Symbol" w:hint="default"/>
      </w:rPr>
    </w:lvl>
    <w:lvl w:ilvl="4" w:tplc="9606CAB6" w:tentative="1">
      <w:start w:val="1"/>
      <w:numFmt w:val="bullet"/>
      <w:lvlText w:val="o"/>
      <w:lvlJc w:val="left"/>
      <w:pPr>
        <w:tabs>
          <w:tab w:val="num" w:pos="3600"/>
        </w:tabs>
        <w:ind w:left="3600" w:hanging="360"/>
      </w:pPr>
      <w:rPr>
        <w:rFonts w:ascii="Courier New" w:hAnsi="Courier New" w:cs="Courier New" w:hint="default"/>
      </w:rPr>
    </w:lvl>
    <w:lvl w:ilvl="5" w:tplc="321EFE1A" w:tentative="1">
      <w:start w:val="1"/>
      <w:numFmt w:val="bullet"/>
      <w:lvlText w:val=""/>
      <w:lvlJc w:val="left"/>
      <w:pPr>
        <w:tabs>
          <w:tab w:val="num" w:pos="4320"/>
        </w:tabs>
        <w:ind w:left="4320" w:hanging="360"/>
      </w:pPr>
      <w:rPr>
        <w:rFonts w:ascii="Wingdings" w:hAnsi="Wingdings" w:hint="default"/>
      </w:rPr>
    </w:lvl>
    <w:lvl w:ilvl="6" w:tplc="E3EA270A" w:tentative="1">
      <w:start w:val="1"/>
      <w:numFmt w:val="bullet"/>
      <w:lvlText w:val=""/>
      <w:lvlJc w:val="left"/>
      <w:pPr>
        <w:tabs>
          <w:tab w:val="num" w:pos="5040"/>
        </w:tabs>
        <w:ind w:left="5040" w:hanging="360"/>
      </w:pPr>
      <w:rPr>
        <w:rFonts w:ascii="Symbol" w:hAnsi="Symbol" w:hint="default"/>
      </w:rPr>
    </w:lvl>
    <w:lvl w:ilvl="7" w:tplc="0C600B18" w:tentative="1">
      <w:start w:val="1"/>
      <w:numFmt w:val="bullet"/>
      <w:lvlText w:val="o"/>
      <w:lvlJc w:val="left"/>
      <w:pPr>
        <w:tabs>
          <w:tab w:val="num" w:pos="5760"/>
        </w:tabs>
        <w:ind w:left="5760" w:hanging="360"/>
      </w:pPr>
      <w:rPr>
        <w:rFonts w:ascii="Courier New" w:hAnsi="Courier New" w:cs="Courier New" w:hint="default"/>
      </w:rPr>
    </w:lvl>
    <w:lvl w:ilvl="8" w:tplc="03F07C1C"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141E77D0"/>
    <w:multiLevelType w:val="hybridMultilevel"/>
    <w:tmpl w:val="371E0362"/>
    <w:lvl w:ilvl="0" w:tplc="FFFFFFFF">
      <w:start w:val="1"/>
      <w:numFmt w:val="lowerRoman"/>
      <w:lvlText w:val="(%1)"/>
      <w:lvlJc w:val="left"/>
      <w:pPr>
        <w:ind w:left="1429" w:hanging="360"/>
      </w:pPr>
      <w:rPr>
        <w:rFonts w:hint="default"/>
      </w:rPr>
    </w:lvl>
    <w:lvl w:ilvl="1" w:tplc="FFFFFFFF" w:tentative="1">
      <w:start w:val="1"/>
      <w:numFmt w:val="lowerLetter"/>
      <w:lvlText w:val="%2."/>
      <w:lvlJc w:val="left"/>
      <w:pPr>
        <w:ind w:left="2149" w:hanging="360"/>
      </w:pPr>
    </w:lvl>
    <w:lvl w:ilvl="2" w:tplc="FFFFFFFF" w:tentative="1">
      <w:start w:val="1"/>
      <w:numFmt w:val="lowerRoman"/>
      <w:lvlText w:val="%3."/>
      <w:lvlJc w:val="right"/>
      <w:pPr>
        <w:ind w:left="2869" w:hanging="180"/>
      </w:pPr>
    </w:lvl>
    <w:lvl w:ilvl="3" w:tplc="FFFFFFFF" w:tentative="1">
      <w:start w:val="1"/>
      <w:numFmt w:val="decimal"/>
      <w:lvlText w:val="%4."/>
      <w:lvlJc w:val="left"/>
      <w:pPr>
        <w:ind w:left="3589" w:hanging="360"/>
      </w:pPr>
    </w:lvl>
    <w:lvl w:ilvl="4" w:tplc="FFFFFFFF" w:tentative="1">
      <w:start w:val="1"/>
      <w:numFmt w:val="lowerLetter"/>
      <w:lvlText w:val="%5."/>
      <w:lvlJc w:val="left"/>
      <w:pPr>
        <w:ind w:left="4309" w:hanging="360"/>
      </w:pPr>
    </w:lvl>
    <w:lvl w:ilvl="5" w:tplc="FFFFFFFF" w:tentative="1">
      <w:start w:val="1"/>
      <w:numFmt w:val="lowerRoman"/>
      <w:lvlText w:val="%6."/>
      <w:lvlJc w:val="right"/>
      <w:pPr>
        <w:ind w:left="5029" w:hanging="180"/>
      </w:pPr>
    </w:lvl>
    <w:lvl w:ilvl="6" w:tplc="FFFFFFFF" w:tentative="1">
      <w:start w:val="1"/>
      <w:numFmt w:val="decimal"/>
      <w:lvlText w:val="%7."/>
      <w:lvlJc w:val="left"/>
      <w:pPr>
        <w:ind w:left="5749" w:hanging="360"/>
      </w:pPr>
    </w:lvl>
    <w:lvl w:ilvl="7" w:tplc="FFFFFFFF" w:tentative="1">
      <w:start w:val="1"/>
      <w:numFmt w:val="lowerLetter"/>
      <w:lvlText w:val="%8."/>
      <w:lvlJc w:val="left"/>
      <w:pPr>
        <w:ind w:left="6469" w:hanging="360"/>
      </w:pPr>
    </w:lvl>
    <w:lvl w:ilvl="8" w:tplc="FFFFFFFF" w:tentative="1">
      <w:start w:val="1"/>
      <w:numFmt w:val="lowerRoman"/>
      <w:lvlText w:val="%9."/>
      <w:lvlJc w:val="right"/>
      <w:pPr>
        <w:ind w:left="7189" w:hanging="180"/>
      </w:pPr>
    </w:lvl>
  </w:abstractNum>
  <w:abstractNum w:abstractNumId="18" w15:restartNumberingAfterBreak="0">
    <w:nsid w:val="15F05088"/>
    <w:multiLevelType w:val="multilevel"/>
    <w:tmpl w:val="54665EE0"/>
    <w:lvl w:ilvl="0">
      <w:start w:val="1"/>
      <w:numFmt w:val="decimal"/>
      <w:pStyle w:val="AltH1OCAshurst"/>
      <w:lvlText w:val="%1."/>
      <w:lvlJc w:val="left"/>
      <w:pPr>
        <w:tabs>
          <w:tab w:val="num" w:pos="709"/>
        </w:tabs>
        <w:ind w:left="709" w:hanging="709"/>
      </w:pPr>
      <w:rPr>
        <w:rFonts w:hint="default"/>
        <w:b w:val="0"/>
        <w:i w:val="0"/>
        <w:color w:val="auto"/>
      </w:rPr>
    </w:lvl>
    <w:lvl w:ilvl="1">
      <w:start w:val="1"/>
      <w:numFmt w:val="decimal"/>
      <w:pStyle w:val="AltH2OCAshurst"/>
      <w:lvlText w:val="%1.%2"/>
      <w:lvlJc w:val="left"/>
      <w:pPr>
        <w:tabs>
          <w:tab w:val="num" w:pos="709"/>
        </w:tabs>
        <w:ind w:left="709" w:hanging="709"/>
      </w:pPr>
      <w:rPr>
        <w:rFonts w:hint="default"/>
        <w:b w:val="0"/>
        <w:i w:val="0"/>
      </w:rPr>
    </w:lvl>
    <w:lvl w:ilvl="2">
      <w:start w:val="1"/>
      <w:numFmt w:val="lowerLetter"/>
      <w:pStyle w:val="AltH3OCAshurst"/>
      <w:lvlText w:val="(%3)"/>
      <w:lvlJc w:val="left"/>
      <w:pPr>
        <w:tabs>
          <w:tab w:val="num" w:pos="709"/>
        </w:tabs>
        <w:ind w:left="709" w:hanging="709"/>
      </w:pPr>
      <w:rPr>
        <w:rFonts w:hint="default"/>
        <w:b w:val="0"/>
        <w:i w:val="0"/>
        <w:color w:val="auto"/>
      </w:rPr>
    </w:lvl>
    <w:lvl w:ilvl="3">
      <w:start w:val="1"/>
      <w:numFmt w:val="lowerRoman"/>
      <w:pStyle w:val="AltH4OCAshurst"/>
      <w:lvlText w:val="(%4)"/>
      <w:lvlJc w:val="left"/>
      <w:pPr>
        <w:tabs>
          <w:tab w:val="num" w:pos="1276"/>
        </w:tabs>
        <w:ind w:left="1276" w:hanging="567"/>
      </w:pPr>
      <w:rPr>
        <w:rFonts w:hint="default"/>
        <w:b w:val="0"/>
        <w:i w:val="0"/>
      </w:rPr>
    </w:lvl>
    <w:lvl w:ilvl="4">
      <w:start w:val="1"/>
      <w:numFmt w:val="upperLetter"/>
      <w:pStyle w:val="AltH5OCAshurst"/>
      <w:lvlText w:val="(%5)"/>
      <w:lvlJc w:val="left"/>
      <w:pPr>
        <w:tabs>
          <w:tab w:val="num" w:pos="1843"/>
        </w:tabs>
        <w:ind w:left="1843" w:hanging="567"/>
      </w:pPr>
      <w:rPr>
        <w:rFonts w:hint="default"/>
        <w:b w:val="0"/>
        <w:i w:val="0"/>
        <w:color w:val="auto"/>
      </w:rPr>
    </w:lvl>
    <w:lvl w:ilvl="5">
      <w:start w:val="1"/>
      <w:numFmt w:val="decimal"/>
      <w:pStyle w:val="AltH6OCAshurst"/>
      <w:lvlText w:val="(%6)"/>
      <w:lvlJc w:val="left"/>
      <w:pPr>
        <w:tabs>
          <w:tab w:val="num" w:pos="2410"/>
        </w:tabs>
        <w:ind w:left="2410" w:hanging="567"/>
      </w:pPr>
      <w:rPr>
        <w:rFonts w:hint="default"/>
        <w:b w:val="0"/>
        <w:i w:val="0"/>
      </w:rPr>
    </w:lvl>
    <w:lvl w:ilvl="6">
      <w:start w:val="1"/>
      <w:numFmt w:val="lowerLetter"/>
      <w:pStyle w:val="AltH7OCAshurst"/>
      <w:lvlText w:val="(%7)"/>
      <w:lvlJc w:val="left"/>
      <w:pPr>
        <w:tabs>
          <w:tab w:val="num" w:pos="2977"/>
        </w:tabs>
        <w:ind w:left="2977" w:hanging="567"/>
      </w:pPr>
      <w:rPr>
        <w:rFonts w:hint="default"/>
        <w:b w:val="0"/>
        <w:i w:val="0"/>
      </w:rPr>
    </w:lvl>
    <w:lvl w:ilvl="7">
      <w:start w:val="1"/>
      <w:numFmt w:val="lowerRoman"/>
      <w:pStyle w:val="AltH8OCAshurst"/>
      <w:lvlText w:val="(%8)"/>
      <w:lvlJc w:val="left"/>
      <w:pPr>
        <w:tabs>
          <w:tab w:val="num" w:pos="3544"/>
        </w:tabs>
        <w:ind w:left="3544" w:hanging="567"/>
      </w:pPr>
      <w:rPr>
        <w:rFonts w:hint="default"/>
        <w:b w:val="0"/>
        <w:i w:val="0"/>
      </w:rPr>
    </w:lvl>
    <w:lvl w:ilvl="8">
      <w:numFmt w:val="none"/>
      <w:lvlText w:val=""/>
      <w:lvlJc w:val="left"/>
      <w:pPr>
        <w:tabs>
          <w:tab w:val="num" w:pos="0"/>
        </w:tabs>
        <w:ind w:left="0" w:firstLine="0"/>
      </w:pPr>
      <w:rPr>
        <w:rFonts w:hint="default"/>
      </w:rPr>
    </w:lvl>
  </w:abstractNum>
  <w:abstractNum w:abstractNumId="19" w15:restartNumberingAfterBreak="0">
    <w:nsid w:val="19480FCF"/>
    <w:multiLevelType w:val="multilevel"/>
    <w:tmpl w:val="CE7E7482"/>
    <w:name w:val="Alt2_RecitalsAshurst"/>
    <w:lvl w:ilvl="0">
      <w:start w:val="1"/>
      <w:numFmt w:val="upperLetter"/>
      <w:pStyle w:val="Alt2RecitalsAshurst"/>
      <w:lvlText w:val="(%1)"/>
      <w:lvlJc w:val="left"/>
      <w:pPr>
        <w:tabs>
          <w:tab w:val="num" w:pos="782"/>
        </w:tabs>
        <w:ind w:left="782" w:hanging="782"/>
      </w:pPr>
      <w:rPr>
        <w:rFonts w:hint="default"/>
        <w:b w:val="0"/>
        <w:i w:val="0"/>
        <w:sz w:val="18"/>
      </w:rPr>
    </w:lvl>
    <w:lvl w:ilvl="1">
      <w:start w:val="1"/>
      <w:numFmt w:val="none"/>
      <w:lvlText w:val=""/>
      <w:lvlJc w:val="left"/>
      <w:pPr>
        <w:tabs>
          <w:tab w:val="num" w:pos="782"/>
        </w:tabs>
        <w:ind w:left="782" w:hanging="782"/>
      </w:pPr>
      <w:rPr>
        <w:rFonts w:hint="default"/>
        <w:b w:val="0"/>
        <w:i w:val="0"/>
        <w:sz w:val="18"/>
        <w:szCs w:val="18"/>
      </w:rPr>
    </w:lvl>
    <w:lvl w:ilvl="2">
      <w:start w:val="1"/>
      <w:numFmt w:val="none"/>
      <w:lvlText w:val=""/>
      <w:lvlJc w:val="left"/>
      <w:pPr>
        <w:tabs>
          <w:tab w:val="num" w:pos="1406"/>
        </w:tabs>
        <w:ind w:left="1406" w:hanging="624"/>
      </w:pPr>
      <w:rPr>
        <w:rFonts w:hint="default"/>
        <w:b w:val="0"/>
        <w:i w:val="0"/>
        <w:sz w:val="18"/>
        <w:szCs w:val="18"/>
      </w:rPr>
    </w:lvl>
    <w:lvl w:ilvl="3">
      <w:start w:val="1"/>
      <w:numFmt w:val="none"/>
      <w:lvlText w:val=""/>
      <w:lvlJc w:val="left"/>
      <w:pPr>
        <w:tabs>
          <w:tab w:val="num" w:pos="2030"/>
        </w:tabs>
        <w:ind w:left="2030" w:hanging="624"/>
      </w:pPr>
      <w:rPr>
        <w:rFonts w:hint="default"/>
        <w:b w:val="0"/>
        <w:i w:val="0"/>
        <w:sz w:val="18"/>
        <w:szCs w:val="18"/>
      </w:rPr>
    </w:lvl>
    <w:lvl w:ilvl="4">
      <w:start w:val="1"/>
      <w:numFmt w:val="none"/>
      <w:lvlText w:val=""/>
      <w:lvlJc w:val="left"/>
      <w:pPr>
        <w:tabs>
          <w:tab w:val="num" w:pos="2653"/>
        </w:tabs>
        <w:ind w:left="2653" w:hanging="623"/>
      </w:pPr>
      <w:rPr>
        <w:rFonts w:hint="default"/>
        <w:b w:val="0"/>
        <w:i w:val="0"/>
        <w:sz w:val="18"/>
        <w:szCs w:val="18"/>
      </w:rPr>
    </w:lvl>
    <w:lvl w:ilvl="5">
      <w:start w:val="27"/>
      <w:numFmt w:val="none"/>
      <w:lvlText w:val=""/>
      <w:lvlJc w:val="left"/>
      <w:pPr>
        <w:tabs>
          <w:tab w:val="num" w:pos="3277"/>
        </w:tabs>
        <w:ind w:left="3277" w:hanging="624"/>
      </w:pPr>
      <w:rPr>
        <w:rFonts w:hint="default"/>
        <w:b w:val="0"/>
        <w:i w:val="0"/>
        <w:sz w:val="18"/>
        <w:szCs w:val="18"/>
      </w:rPr>
    </w:lvl>
    <w:lvl w:ilvl="6">
      <w:start w:val="1"/>
      <w:numFmt w:val="none"/>
      <w:lvlText w:val=""/>
      <w:lvlJc w:val="left"/>
      <w:pPr>
        <w:tabs>
          <w:tab w:val="num" w:pos="3901"/>
        </w:tabs>
        <w:ind w:left="3901" w:hanging="624"/>
      </w:pPr>
      <w:rPr>
        <w:rFonts w:hint="default"/>
      </w:rPr>
    </w:lvl>
    <w:lvl w:ilvl="7">
      <w:start w:val="1"/>
      <w:numFmt w:val="none"/>
      <w:lvlText w:val=""/>
      <w:lvlJc w:val="left"/>
      <w:pPr>
        <w:tabs>
          <w:tab w:val="num" w:pos="4525"/>
        </w:tabs>
        <w:ind w:left="4525" w:hanging="624"/>
      </w:pPr>
      <w:rPr>
        <w:rFonts w:hint="default"/>
      </w:rPr>
    </w:lvl>
    <w:lvl w:ilvl="8">
      <w:start w:val="1"/>
      <w:numFmt w:val="none"/>
      <w:lvlText w:val=""/>
      <w:lvlJc w:val="left"/>
      <w:pPr>
        <w:tabs>
          <w:tab w:val="num" w:pos="0"/>
        </w:tabs>
        <w:ind w:left="0" w:firstLine="0"/>
      </w:pPr>
      <w:rPr>
        <w:rFonts w:hint="default"/>
      </w:rPr>
    </w:lvl>
  </w:abstractNum>
  <w:abstractNum w:abstractNumId="20" w15:restartNumberingAfterBreak="0">
    <w:nsid w:val="1F2A4CDE"/>
    <w:multiLevelType w:val="multilevel"/>
    <w:tmpl w:val="3FB22108"/>
    <w:lvl w:ilvl="0">
      <w:start w:val="1"/>
      <w:numFmt w:val="decimal"/>
      <w:pStyle w:val="Heading1"/>
      <w:lvlText w:val="%1."/>
      <w:lvlJc w:val="left"/>
      <w:pPr>
        <w:tabs>
          <w:tab w:val="num" w:pos="782"/>
        </w:tabs>
        <w:ind w:left="782" w:hanging="782"/>
      </w:pPr>
      <w:rPr>
        <w:rFonts w:hint="default"/>
        <w:b w:val="0"/>
        <w:i w:val="0"/>
        <w:sz w:val="18"/>
      </w:rPr>
    </w:lvl>
    <w:lvl w:ilvl="1">
      <w:start w:val="1"/>
      <w:numFmt w:val="decimal"/>
      <w:pStyle w:val="Heading2"/>
      <w:lvlText w:val="%1.%2"/>
      <w:lvlJc w:val="left"/>
      <w:pPr>
        <w:tabs>
          <w:tab w:val="num" w:pos="782"/>
        </w:tabs>
        <w:ind w:left="782" w:hanging="782"/>
      </w:pPr>
      <w:rPr>
        <w:rFonts w:hint="default"/>
        <w:b w:val="0"/>
        <w:i w:val="0"/>
        <w:sz w:val="18"/>
      </w:rPr>
    </w:lvl>
    <w:lvl w:ilvl="2">
      <w:start w:val="1"/>
      <w:numFmt w:val="lowerLetter"/>
      <w:pStyle w:val="Heading3"/>
      <w:lvlText w:val="(%3)"/>
      <w:lvlJc w:val="left"/>
      <w:pPr>
        <w:tabs>
          <w:tab w:val="num" w:pos="1406"/>
        </w:tabs>
        <w:ind w:left="1406" w:hanging="624"/>
      </w:pPr>
      <w:rPr>
        <w:rFonts w:hint="default"/>
        <w:b w:val="0"/>
        <w:i w:val="0"/>
        <w:sz w:val="18"/>
      </w:rPr>
    </w:lvl>
    <w:lvl w:ilvl="3">
      <w:start w:val="1"/>
      <w:numFmt w:val="lowerRoman"/>
      <w:pStyle w:val="Heading4"/>
      <w:lvlText w:val="(%4)"/>
      <w:lvlJc w:val="left"/>
      <w:pPr>
        <w:tabs>
          <w:tab w:val="num" w:pos="2030"/>
        </w:tabs>
        <w:ind w:left="2030" w:hanging="624"/>
      </w:pPr>
      <w:rPr>
        <w:rFonts w:hint="default"/>
        <w:b w:val="0"/>
        <w:i w:val="0"/>
        <w:sz w:val="18"/>
      </w:rPr>
    </w:lvl>
    <w:lvl w:ilvl="4">
      <w:start w:val="1"/>
      <w:numFmt w:val="upperLetter"/>
      <w:pStyle w:val="Heading5"/>
      <w:lvlText w:val="(%5)"/>
      <w:lvlJc w:val="left"/>
      <w:pPr>
        <w:tabs>
          <w:tab w:val="num" w:pos="2654"/>
        </w:tabs>
        <w:ind w:left="2654" w:hanging="624"/>
      </w:pPr>
      <w:rPr>
        <w:rFonts w:hint="default"/>
        <w:b w:val="0"/>
        <w:i w:val="0"/>
        <w:sz w:val="18"/>
      </w:rPr>
    </w:lvl>
    <w:lvl w:ilvl="5">
      <w:start w:val="1"/>
      <w:numFmt w:val="decimal"/>
      <w:lvlRestart w:val="0"/>
      <w:pStyle w:val="Heading6"/>
      <w:lvlText w:val="%6."/>
      <w:lvlJc w:val="left"/>
      <w:pPr>
        <w:tabs>
          <w:tab w:val="num" w:pos="782"/>
        </w:tabs>
        <w:ind w:left="782" w:hanging="782"/>
      </w:pPr>
      <w:rPr>
        <w:rFonts w:hint="default"/>
        <w:b w:val="0"/>
        <w:i w:val="0"/>
        <w:sz w:val="18"/>
      </w:rPr>
    </w:lvl>
    <w:lvl w:ilvl="6">
      <w:start w:val="1"/>
      <w:numFmt w:val="decimal"/>
      <w:pStyle w:val="Heading7"/>
      <w:lvlText w:val="%6.%7"/>
      <w:lvlJc w:val="left"/>
      <w:pPr>
        <w:tabs>
          <w:tab w:val="num" w:pos="782"/>
        </w:tabs>
        <w:ind w:left="782" w:hanging="782"/>
      </w:pPr>
      <w:rPr>
        <w:rFonts w:hint="default"/>
        <w:b w:val="0"/>
        <w:i w:val="0"/>
        <w:sz w:val="18"/>
      </w:rPr>
    </w:lvl>
    <w:lvl w:ilvl="7">
      <w:start w:val="1"/>
      <w:numFmt w:val="lowerLetter"/>
      <w:pStyle w:val="Heading8"/>
      <w:lvlText w:val="(%8)"/>
      <w:lvlJc w:val="left"/>
      <w:pPr>
        <w:tabs>
          <w:tab w:val="num" w:pos="1406"/>
        </w:tabs>
        <w:ind w:left="1406" w:hanging="624"/>
      </w:pPr>
      <w:rPr>
        <w:rFonts w:hint="default"/>
        <w:b w:val="0"/>
        <w:i w:val="0"/>
        <w:sz w:val="18"/>
      </w:rPr>
    </w:lvl>
    <w:lvl w:ilvl="8">
      <w:start w:val="1"/>
      <w:numFmt w:val="lowerRoman"/>
      <w:pStyle w:val="Heading9"/>
      <w:lvlText w:val="(%9)"/>
      <w:lvlJc w:val="left"/>
      <w:pPr>
        <w:tabs>
          <w:tab w:val="num" w:pos="2030"/>
        </w:tabs>
        <w:ind w:left="2030" w:hanging="624"/>
      </w:pPr>
      <w:rPr>
        <w:rFonts w:hint="default"/>
        <w:b w:val="0"/>
        <w:i w:val="0"/>
        <w:sz w:val="18"/>
      </w:rPr>
    </w:lvl>
  </w:abstractNum>
  <w:abstractNum w:abstractNumId="21" w15:restartNumberingAfterBreak="0">
    <w:nsid w:val="20E07680"/>
    <w:multiLevelType w:val="multilevel"/>
    <w:tmpl w:val="0809001D"/>
    <w:name w:val="H1toH6Ashurst2"/>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2" w15:restartNumberingAfterBreak="0">
    <w:nsid w:val="2265377C"/>
    <w:multiLevelType w:val="multilevel"/>
    <w:tmpl w:val="93BE6644"/>
    <w:lvl w:ilvl="0">
      <w:start w:val="1"/>
      <w:numFmt w:val="decimal"/>
      <w:pStyle w:val="H1OCAshurst"/>
      <w:lvlText w:val="%1."/>
      <w:lvlJc w:val="left"/>
      <w:pPr>
        <w:tabs>
          <w:tab w:val="num" w:pos="709"/>
        </w:tabs>
        <w:ind w:left="709" w:hanging="709"/>
      </w:pPr>
      <w:rPr>
        <w:rFonts w:hint="default"/>
        <w:b w:val="0"/>
        <w:i w:val="0"/>
      </w:rPr>
    </w:lvl>
    <w:lvl w:ilvl="1">
      <w:start w:val="1"/>
      <w:numFmt w:val="decimal"/>
      <w:pStyle w:val="H2OCAshurst"/>
      <w:lvlText w:val="%1.%2"/>
      <w:lvlJc w:val="left"/>
      <w:pPr>
        <w:tabs>
          <w:tab w:val="num" w:pos="709"/>
        </w:tabs>
        <w:ind w:left="709" w:hanging="709"/>
      </w:pPr>
      <w:rPr>
        <w:rFonts w:hint="default"/>
        <w:b w:val="0"/>
        <w:i w:val="0"/>
      </w:rPr>
    </w:lvl>
    <w:lvl w:ilvl="2">
      <w:start w:val="1"/>
      <w:numFmt w:val="lowerLetter"/>
      <w:pStyle w:val="H3OCAshurst"/>
      <w:lvlText w:val="(%3)"/>
      <w:lvlJc w:val="left"/>
      <w:pPr>
        <w:tabs>
          <w:tab w:val="num" w:pos="709"/>
        </w:tabs>
        <w:ind w:left="709" w:hanging="709"/>
      </w:pPr>
      <w:rPr>
        <w:rFonts w:hint="default"/>
        <w:b w:val="0"/>
        <w:i w:val="0"/>
      </w:rPr>
    </w:lvl>
    <w:lvl w:ilvl="3">
      <w:start w:val="1"/>
      <w:numFmt w:val="lowerRoman"/>
      <w:pStyle w:val="H4OCAshurst"/>
      <w:lvlText w:val="(%4)"/>
      <w:lvlJc w:val="left"/>
      <w:pPr>
        <w:tabs>
          <w:tab w:val="num" w:pos="1276"/>
        </w:tabs>
        <w:ind w:left="1276" w:hanging="567"/>
      </w:pPr>
      <w:rPr>
        <w:rFonts w:hint="default"/>
        <w:b w:val="0"/>
        <w:i w:val="0"/>
      </w:rPr>
    </w:lvl>
    <w:lvl w:ilvl="4">
      <w:start w:val="1"/>
      <w:numFmt w:val="upperLetter"/>
      <w:pStyle w:val="H5OCAshurst"/>
      <w:lvlText w:val="(%5)"/>
      <w:lvlJc w:val="left"/>
      <w:pPr>
        <w:tabs>
          <w:tab w:val="num" w:pos="1843"/>
        </w:tabs>
        <w:ind w:left="1843" w:hanging="567"/>
      </w:pPr>
      <w:rPr>
        <w:rFonts w:hint="default"/>
        <w:b w:val="0"/>
        <w:i w:val="0"/>
      </w:rPr>
    </w:lvl>
    <w:lvl w:ilvl="5">
      <w:start w:val="1"/>
      <w:numFmt w:val="decimal"/>
      <w:pStyle w:val="H6OCAshurst"/>
      <w:lvlText w:val="(%6)"/>
      <w:lvlJc w:val="left"/>
      <w:pPr>
        <w:tabs>
          <w:tab w:val="num" w:pos="2410"/>
        </w:tabs>
        <w:ind w:left="2410" w:hanging="567"/>
      </w:pPr>
      <w:rPr>
        <w:rFonts w:hint="default"/>
        <w:b w:val="0"/>
        <w:i w:val="0"/>
      </w:rPr>
    </w:lvl>
    <w:lvl w:ilvl="6">
      <w:start w:val="1"/>
      <w:numFmt w:val="lowerLetter"/>
      <w:pStyle w:val="H7OCAshurst"/>
      <w:lvlText w:val="(%7)"/>
      <w:lvlJc w:val="left"/>
      <w:pPr>
        <w:tabs>
          <w:tab w:val="num" w:pos="2977"/>
        </w:tabs>
        <w:ind w:left="2977" w:hanging="567"/>
      </w:pPr>
      <w:rPr>
        <w:rFonts w:hint="default"/>
        <w:b w:val="0"/>
        <w:i w:val="0"/>
      </w:rPr>
    </w:lvl>
    <w:lvl w:ilvl="7">
      <w:start w:val="1"/>
      <w:numFmt w:val="upperRoman"/>
      <w:pStyle w:val="H8OCAshurst"/>
      <w:lvlText w:val="(%8)"/>
      <w:lvlJc w:val="left"/>
      <w:pPr>
        <w:tabs>
          <w:tab w:val="num" w:pos="3544"/>
        </w:tabs>
        <w:ind w:left="3544" w:hanging="567"/>
      </w:pPr>
      <w:rPr>
        <w:rFonts w:hint="default"/>
        <w:b w:val="0"/>
        <w:i w:val="0"/>
        <w:sz w:val="20"/>
      </w:rPr>
    </w:lvl>
    <w:lvl w:ilvl="8">
      <w:start w:val="1"/>
      <w:numFmt w:val="none"/>
      <w:lvlText w:val=""/>
      <w:lvlJc w:val="left"/>
      <w:pPr>
        <w:tabs>
          <w:tab w:val="num" w:pos="0"/>
        </w:tabs>
        <w:ind w:left="0" w:firstLine="0"/>
      </w:pPr>
      <w:rPr>
        <w:rFonts w:hint="default"/>
      </w:rPr>
    </w:lvl>
  </w:abstractNum>
  <w:abstractNum w:abstractNumId="23" w15:restartNumberingAfterBreak="0">
    <w:nsid w:val="25711A1A"/>
    <w:multiLevelType w:val="multilevel"/>
    <w:tmpl w:val="0809001D"/>
    <w:name w:val="AltH1toH6Ashurst5"/>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4" w15:restartNumberingAfterBreak="0">
    <w:nsid w:val="29D34DD1"/>
    <w:multiLevelType w:val="multilevel"/>
    <w:tmpl w:val="0809001D"/>
    <w:styleLink w:val="1ai"/>
    <w:lvl w:ilvl="0">
      <w:start w:val="1"/>
      <w:numFmt w:val="decimal"/>
      <w:lvlText w:val="%1)"/>
      <w:lvlJc w:val="left"/>
      <w:pPr>
        <w:ind w:left="360" w:hanging="360"/>
      </w:pPr>
      <w:rPr>
        <w:rFonts w:asciiTheme="minorHAnsi" w:eastAsiaTheme="minorEastAsia" w:hAnsiTheme="minorHAnsi" w:cstheme="minorBidi"/>
        <w:szCs w:val="26"/>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29EA3829"/>
    <w:multiLevelType w:val="multilevel"/>
    <w:tmpl w:val="07BE7142"/>
    <w:lvl w:ilvl="0">
      <w:start w:val="1"/>
      <w:numFmt w:val="decimal"/>
      <w:pStyle w:val="SH1Ashurst"/>
      <w:lvlText w:val="%1."/>
      <w:lvlJc w:val="left"/>
      <w:pPr>
        <w:tabs>
          <w:tab w:val="num" w:pos="782"/>
        </w:tabs>
        <w:ind w:left="782" w:hanging="782"/>
      </w:pPr>
      <w:rPr>
        <w:rFonts w:hint="default"/>
        <w:b w:val="0"/>
        <w:i w:val="0"/>
        <w:sz w:val="18"/>
      </w:rPr>
    </w:lvl>
    <w:lvl w:ilvl="1">
      <w:start w:val="1"/>
      <w:numFmt w:val="decimal"/>
      <w:pStyle w:val="SH2Ashurst"/>
      <w:lvlText w:val="%1.%2"/>
      <w:lvlJc w:val="left"/>
      <w:pPr>
        <w:tabs>
          <w:tab w:val="num" w:pos="782"/>
        </w:tabs>
        <w:ind w:left="782" w:hanging="782"/>
      </w:pPr>
      <w:rPr>
        <w:rFonts w:hint="default"/>
        <w:b w:val="0"/>
        <w:i w:val="0"/>
        <w:sz w:val="18"/>
        <w:szCs w:val="18"/>
        <w:u w:val="none"/>
      </w:rPr>
    </w:lvl>
    <w:lvl w:ilvl="2">
      <w:start w:val="1"/>
      <w:numFmt w:val="lowerLetter"/>
      <w:pStyle w:val="SH3Ashurst"/>
      <w:lvlText w:val="(%3)"/>
      <w:lvlJc w:val="left"/>
      <w:pPr>
        <w:tabs>
          <w:tab w:val="num" w:pos="1406"/>
        </w:tabs>
        <w:ind w:left="1406" w:hanging="624"/>
      </w:pPr>
      <w:rPr>
        <w:rFonts w:hint="default"/>
        <w:b w:val="0"/>
        <w:i w:val="0"/>
        <w:caps w:val="0"/>
        <w:smallCaps w:val="0"/>
        <w:sz w:val="18"/>
        <w:u w:val="none"/>
      </w:rPr>
    </w:lvl>
    <w:lvl w:ilvl="3">
      <w:start w:val="1"/>
      <w:numFmt w:val="lowerRoman"/>
      <w:pStyle w:val="SH4Ashurst"/>
      <w:lvlText w:val="(%4)"/>
      <w:lvlJc w:val="left"/>
      <w:pPr>
        <w:tabs>
          <w:tab w:val="num" w:pos="2030"/>
        </w:tabs>
        <w:ind w:left="2030" w:hanging="624"/>
      </w:pPr>
      <w:rPr>
        <w:rFonts w:hint="default"/>
        <w:b w:val="0"/>
        <w:i w:val="0"/>
        <w:caps w:val="0"/>
        <w:smallCaps w:val="0"/>
        <w:sz w:val="18"/>
        <w:u w:val="none"/>
      </w:rPr>
    </w:lvl>
    <w:lvl w:ilvl="4">
      <w:start w:val="1"/>
      <w:numFmt w:val="upperLetter"/>
      <w:pStyle w:val="SH5Ashurst"/>
      <w:lvlText w:val="(%5)"/>
      <w:lvlJc w:val="left"/>
      <w:pPr>
        <w:tabs>
          <w:tab w:val="num" w:pos="2653"/>
        </w:tabs>
        <w:ind w:left="2653" w:hanging="623"/>
      </w:pPr>
      <w:rPr>
        <w:rFonts w:hint="default"/>
        <w:b w:val="0"/>
        <w:i w:val="0"/>
        <w:caps/>
        <w:sz w:val="18"/>
        <w:u w:val="none"/>
      </w:rPr>
    </w:lvl>
    <w:lvl w:ilvl="5">
      <w:start w:val="27"/>
      <w:numFmt w:val="none"/>
      <w:lvlText w:val=""/>
      <w:lvlJc w:val="left"/>
      <w:pPr>
        <w:tabs>
          <w:tab w:val="num" w:pos="0"/>
        </w:tabs>
        <w:ind w:left="0" w:firstLine="0"/>
      </w:pPr>
      <w:rPr>
        <w:rFonts w:hint="default"/>
        <w:b w:val="0"/>
        <w:i w:val="0"/>
        <w:caps w:val="0"/>
        <w:sz w:val="18"/>
        <w:szCs w:val="18"/>
      </w:rPr>
    </w:lvl>
    <w:lvl w:ilvl="6">
      <w:start w:val="1"/>
      <w:numFmt w:val="none"/>
      <w:suff w:val="nothing"/>
      <w:lvlText w:val=""/>
      <w:lvlJc w:val="left"/>
      <w:pPr>
        <w:ind w:left="0" w:firstLine="0"/>
      </w:pPr>
      <w:rPr>
        <w:rFonts w:ascii="Times New Roman" w:hAnsi="Times New Roman" w:hint="default"/>
        <w:b w:val="0"/>
        <w:i w:val="0"/>
      </w:rPr>
    </w:lvl>
    <w:lvl w:ilvl="7">
      <w:start w:val="1"/>
      <w:numFmt w:val="none"/>
      <w:suff w:val="nothing"/>
      <w:lvlText w:val=""/>
      <w:lvlJc w:val="left"/>
      <w:pPr>
        <w:ind w:left="0" w:firstLine="0"/>
      </w:pPr>
      <w:rPr>
        <w:rFonts w:ascii="Times New Roman" w:hAnsi="Times New Roman" w:hint="default"/>
        <w:b w:val="0"/>
        <w:i w:val="0"/>
      </w:rPr>
    </w:lvl>
    <w:lvl w:ilvl="8">
      <w:start w:val="1"/>
      <w:numFmt w:val="none"/>
      <w:suff w:val="nothing"/>
      <w:lvlText w:val=""/>
      <w:lvlJc w:val="left"/>
      <w:pPr>
        <w:ind w:left="0" w:firstLine="0"/>
      </w:pPr>
      <w:rPr>
        <w:rFonts w:ascii="Times New Roman" w:hAnsi="Times New Roman" w:hint="default"/>
        <w:b w:val="0"/>
        <w:i w:val="0"/>
      </w:rPr>
    </w:lvl>
  </w:abstractNum>
  <w:abstractNum w:abstractNumId="26" w15:restartNumberingAfterBreak="0">
    <w:nsid w:val="2A523641"/>
    <w:multiLevelType w:val="multilevel"/>
    <w:tmpl w:val="0809001D"/>
    <w:name w:val="AltH1toH6Ashurst3"/>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7" w15:restartNumberingAfterBreak="0">
    <w:nsid w:val="2A9F4D5B"/>
    <w:multiLevelType w:val="hybridMultilevel"/>
    <w:tmpl w:val="77962B64"/>
    <w:lvl w:ilvl="0" w:tplc="DA88224A">
      <w:start w:val="1"/>
      <w:numFmt w:val="lowerLetter"/>
      <w:lvlText w:val="(%1)"/>
      <w:lvlJc w:val="left"/>
      <w:pPr>
        <w:ind w:left="1287" w:hanging="360"/>
      </w:pPr>
      <w:rPr>
        <w:rFonts w:hint="default"/>
        <w:b/>
        <w:bCs w:val="0"/>
      </w:r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8" w15:restartNumberingAfterBreak="0">
    <w:nsid w:val="2B70236B"/>
    <w:multiLevelType w:val="multilevel"/>
    <w:tmpl w:val="0809001D"/>
    <w:name w:val="H1toH6Ashurst4"/>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9" w15:restartNumberingAfterBreak="0">
    <w:nsid w:val="2CFF7910"/>
    <w:multiLevelType w:val="multilevel"/>
    <w:tmpl w:val="663C9EFA"/>
    <w:name w:val="AltPartiesAshurst"/>
    <w:lvl w:ilvl="0">
      <w:start w:val="1"/>
      <w:numFmt w:val="decimal"/>
      <w:pStyle w:val="AltPartiesAshurst"/>
      <w:lvlText w:val="(%1)"/>
      <w:lvlJc w:val="left"/>
      <w:pPr>
        <w:tabs>
          <w:tab w:val="num" w:pos="782"/>
        </w:tabs>
        <w:ind w:left="782" w:hanging="782"/>
      </w:pPr>
      <w:rPr>
        <w:rFonts w:hint="default"/>
        <w:b w:val="0"/>
        <w:i w:val="0"/>
        <w:sz w:val="18"/>
      </w:rPr>
    </w:lvl>
    <w:lvl w:ilvl="1">
      <w:start w:val="1"/>
      <w:numFmt w:val="none"/>
      <w:lvlText w:val=""/>
      <w:lvlJc w:val="left"/>
      <w:pPr>
        <w:tabs>
          <w:tab w:val="num" w:pos="0"/>
        </w:tabs>
        <w:ind w:left="0" w:firstLine="0"/>
      </w:pPr>
      <w:rPr>
        <w:rFonts w:hint="default"/>
        <w:b w:val="0"/>
        <w:i w:val="0"/>
        <w:sz w:val="18"/>
        <w:szCs w:val="18"/>
      </w:rPr>
    </w:lvl>
    <w:lvl w:ilvl="2">
      <w:start w:val="1"/>
      <w:numFmt w:val="none"/>
      <w:lvlText w:val=""/>
      <w:lvlJc w:val="left"/>
      <w:pPr>
        <w:tabs>
          <w:tab w:val="num" w:pos="0"/>
        </w:tabs>
        <w:ind w:left="0" w:firstLine="0"/>
      </w:pPr>
      <w:rPr>
        <w:rFonts w:hint="default"/>
        <w:b w:val="0"/>
        <w:i w:val="0"/>
        <w:sz w:val="18"/>
        <w:szCs w:val="18"/>
      </w:rPr>
    </w:lvl>
    <w:lvl w:ilvl="3">
      <w:start w:val="1"/>
      <w:numFmt w:val="none"/>
      <w:lvlText w:val=""/>
      <w:lvlJc w:val="left"/>
      <w:pPr>
        <w:tabs>
          <w:tab w:val="num" w:pos="0"/>
        </w:tabs>
        <w:ind w:left="0" w:firstLine="0"/>
      </w:pPr>
      <w:rPr>
        <w:rFonts w:hint="default"/>
        <w:b w:val="0"/>
        <w:i w:val="0"/>
        <w:sz w:val="18"/>
        <w:szCs w:val="18"/>
      </w:rPr>
    </w:lvl>
    <w:lvl w:ilvl="4">
      <w:start w:val="1"/>
      <w:numFmt w:val="none"/>
      <w:lvlText w:val=""/>
      <w:lvlJc w:val="left"/>
      <w:pPr>
        <w:tabs>
          <w:tab w:val="num" w:pos="0"/>
        </w:tabs>
        <w:ind w:left="0" w:firstLine="0"/>
      </w:pPr>
      <w:rPr>
        <w:rFonts w:hint="default"/>
        <w:b w:val="0"/>
        <w:i w:val="0"/>
        <w:sz w:val="18"/>
        <w:szCs w:val="18"/>
      </w:rPr>
    </w:lvl>
    <w:lvl w:ilvl="5">
      <w:start w:val="27"/>
      <w:numFmt w:val="none"/>
      <w:lvlText w:val=""/>
      <w:lvlJc w:val="left"/>
      <w:pPr>
        <w:tabs>
          <w:tab w:val="num" w:pos="0"/>
        </w:tabs>
        <w:ind w:left="0" w:firstLine="0"/>
      </w:pPr>
      <w:rPr>
        <w:rFonts w:hint="default"/>
        <w:b w:val="0"/>
        <w:i w:val="0"/>
        <w:sz w:val="18"/>
        <w:szCs w:val="18"/>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left"/>
      <w:pPr>
        <w:tabs>
          <w:tab w:val="num" w:pos="0"/>
        </w:tabs>
        <w:ind w:left="0" w:firstLine="0"/>
      </w:pPr>
      <w:rPr>
        <w:rFonts w:hint="default"/>
      </w:rPr>
    </w:lvl>
  </w:abstractNum>
  <w:abstractNum w:abstractNumId="30" w15:restartNumberingAfterBreak="0">
    <w:nsid w:val="302E0DF5"/>
    <w:multiLevelType w:val="multilevel"/>
    <w:tmpl w:val="6018EBCE"/>
    <w:lvl w:ilvl="0">
      <w:start w:val="1"/>
      <w:numFmt w:val="upperRoman"/>
      <w:pStyle w:val="AltRecitalsAshurst"/>
      <w:lvlText w:val="%1."/>
      <w:lvlJc w:val="left"/>
      <w:pPr>
        <w:tabs>
          <w:tab w:val="num" w:pos="782"/>
        </w:tabs>
        <w:ind w:left="782" w:hanging="782"/>
      </w:pPr>
      <w:rPr>
        <w:rFonts w:hint="default"/>
        <w:b w:val="0"/>
        <w:i w:val="0"/>
        <w:sz w:val="18"/>
        <w:szCs w:val="18"/>
      </w:rPr>
    </w:lvl>
    <w:lvl w:ilvl="1">
      <w:numFmt w:val="none"/>
      <w:lvlText w:val=""/>
      <w:lvlJc w:val="left"/>
      <w:pPr>
        <w:tabs>
          <w:tab w:val="num" w:pos="-31680"/>
        </w:tabs>
        <w:ind w:left="0" w:firstLine="0"/>
      </w:pPr>
      <w:rPr>
        <w:rFonts w:hint="default"/>
        <w:b w:val="0"/>
        <w:i w:val="0"/>
        <w:sz w:val="18"/>
        <w:szCs w:val="18"/>
      </w:rPr>
    </w:lvl>
    <w:lvl w:ilvl="2">
      <w:start w:val="1"/>
      <w:numFmt w:val="none"/>
      <w:lvlText w:val=""/>
      <w:lvlJc w:val="left"/>
      <w:pPr>
        <w:tabs>
          <w:tab w:val="num" w:pos="0"/>
        </w:tabs>
        <w:ind w:left="0" w:firstLine="0"/>
      </w:pPr>
      <w:rPr>
        <w:rFonts w:hint="default"/>
        <w:b w:val="0"/>
        <w:i w:val="0"/>
        <w:sz w:val="18"/>
      </w:rPr>
    </w:lvl>
    <w:lvl w:ilvl="3">
      <w:start w:val="1"/>
      <w:numFmt w:val="none"/>
      <w:lvlText w:val=""/>
      <w:lvlJc w:val="left"/>
      <w:pPr>
        <w:tabs>
          <w:tab w:val="num" w:pos="0"/>
        </w:tabs>
        <w:ind w:left="0" w:firstLine="0"/>
      </w:pPr>
      <w:rPr>
        <w:rFonts w:hint="default"/>
        <w:b w:val="0"/>
        <w:i w:val="0"/>
        <w:sz w:val="18"/>
        <w:szCs w:val="18"/>
      </w:rPr>
    </w:lvl>
    <w:lvl w:ilvl="4">
      <w:start w:val="1"/>
      <w:numFmt w:val="none"/>
      <w:lvlText w:val=""/>
      <w:lvlJc w:val="left"/>
      <w:pPr>
        <w:tabs>
          <w:tab w:val="num" w:pos="0"/>
        </w:tabs>
        <w:ind w:left="0" w:firstLine="0"/>
      </w:pPr>
      <w:rPr>
        <w:rFonts w:hint="default"/>
        <w:b w:val="0"/>
        <w:i w:val="0"/>
        <w:sz w:val="18"/>
        <w:szCs w:val="18"/>
      </w:rPr>
    </w:lvl>
    <w:lvl w:ilvl="5">
      <w:start w:val="27"/>
      <w:numFmt w:val="none"/>
      <w:lvlText w:val=""/>
      <w:lvlJc w:val="left"/>
      <w:pPr>
        <w:tabs>
          <w:tab w:val="num" w:pos="0"/>
        </w:tabs>
        <w:ind w:left="0" w:firstLine="0"/>
      </w:pPr>
      <w:rPr>
        <w:rFonts w:hint="default"/>
        <w:b w:val="0"/>
        <w:i w:val="0"/>
        <w:sz w:val="18"/>
        <w:szCs w:val="18"/>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Text w:val=""/>
      <w:lvlJc w:val="left"/>
      <w:pPr>
        <w:tabs>
          <w:tab w:val="num" w:pos="0"/>
        </w:tabs>
        <w:ind w:left="0" w:firstLine="0"/>
      </w:pPr>
      <w:rPr>
        <w:rFonts w:hint="default"/>
      </w:rPr>
    </w:lvl>
  </w:abstractNum>
  <w:abstractNum w:abstractNumId="31" w15:restartNumberingAfterBreak="0">
    <w:nsid w:val="3076543B"/>
    <w:multiLevelType w:val="multilevel"/>
    <w:tmpl w:val="0809001D"/>
    <w:name w:val="SH1toSH6Ashurst4"/>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15:restartNumberingAfterBreak="0">
    <w:nsid w:val="37673702"/>
    <w:multiLevelType w:val="multilevel"/>
    <w:tmpl w:val="0809001D"/>
    <w:name w:val="SH1toSH6Ashurst32"/>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3" w15:restartNumberingAfterBreak="0">
    <w:nsid w:val="3E2557C4"/>
    <w:multiLevelType w:val="multilevel"/>
    <w:tmpl w:val="0809001D"/>
    <w:name w:val="SH1toSH6Ashurst2"/>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4" w15:restartNumberingAfterBreak="0">
    <w:nsid w:val="407F7A8A"/>
    <w:multiLevelType w:val="multilevel"/>
    <w:tmpl w:val="32928FFA"/>
    <w:lvl w:ilvl="0">
      <w:start w:val="1"/>
      <w:numFmt w:val="decimal"/>
      <w:pStyle w:val="AltSH1Ashurst"/>
      <w:lvlText w:val="%1."/>
      <w:lvlJc w:val="left"/>
      <w:pPr>
        <w:tabs>
          <w:tab w:val="num" w:pos="782"/>
        </w:tabs>
        <w:ind w:left="782" w:hanging="782"/>
      </w:pPr>
      <w:rPr>
        <w:rFonts w:hint="default"/>
        <w:b w:val="0"/>
        <w:i w:val="0"/>
        <w:sz w:val="18"/>
      </w:rPr>
    </w:lvl>
    <w:lvl w:ilvl="1">
      <w:start w:val="1"/>
      <w:numFmt w:val="decimal"/>
      <w:pStyle w:val="AltSH2Ashurst"/>
      <w:lvlText w:val="%1.%2"/>
      <w:lvlJc w:val="left"/>
      <w:pPr>
        <w:tabs>
          <w:tab w:val="num" w:pos="782"/>
        </w:tabs>
        <w:ind w:left="782" w:hanging="782"/>
      </w:pPr>
      <w:rPr>
        <w:rFonts w:hint="default"/>
        <w:b w:val="0"/>
        <w:i w:val="0"/>
        <w:sz w:val="18"/>
        <w:szCs w:val="18"/>
        <w:u w:val="none"/>
      </w:rPr>
    </w:lvl>
    <w:lvl w:ilvl="2">
      <w:start w:val="1"/>
      <w:numFmt w:val="lowerLetter"/>
      <w:pStyle w:val="AltSH3Ashurst"/>
      <w:lvlText w:val="(%3)"/>
      <w:lvlJc w:val="left"/>
      <w:pPr>
        <w:tabs>
          <w:tab w:val="num" w:pos="1406"/>
        </w:tabs>
        <w:ind w:left="1406" w:hanging="624"/>
      </w:pPr>
      <w:rPr>
        <w:rFonts w:hint="default"/>
        <w:b w:val="0"/>
        <w:i w:val="0"/>
        <w:caps w:val="0"/>
        <w:smallCaps w:val="0"/>
        <w:sz w:val="18"/>
        <w:u w:val="none"/>
      </w:rPr>
    </w:lvl>
    <w:lvl w:ilvl="3">
      <w:start w:val="1"/>
      <w:numFmt w:val="lowerRoman"/>
      <w:pStyle w:val="AltSH4Ashurst"/>
      <w:lvlText w:val="(%4)"/>
      <w:lvlJc w:val="left"/>
      <w:pPr>
        <w:tabs>
          <w:tab w:val="num" w:pos="2030"/>
        </w:tabs>
        <w:ind w:left="2030" w:hanging="624"/>
      </w:pPr>
      <w:rPr>
        <w:rFonts w:hint="default"/>
        <w:b w:val="0"/>
        <w:i w:val="0"/>
        <w:caps w:val="0"/>
        <w:smallCaps w:val="0"/>
        <w:sz w:val="18"/>
        <w:u w:val="none"/>
      </w:rPr>
    </w:lvl>
    <w:lvl w:ilvl="4">
      <w:start w:val="1"/>
      <w:numFmt w:val="upperLetter"/>
      <w:pStyle w:val="AltSH5Ashurst"/>
      <w:lvlText w:val="(%5)"/>
      <w:lvlJc w:val="left"/>
      <w:pPr>
        <w:tabs>
          <w:tab w:val="num" w:pos="2653"/>
        </w:tabs>
        <w:ind w:left="2653" w:hanging="623"/>
      </w:pPr>
      <w:rPr>
        <w:rFonts w:hint="default"/>
        <w:b w:val="0"/>
        <w:i w:val="0"/>
        <w:caps/>
        <w:sz w:val="18"/>
        <w:u w:val="none"/>
      </w:rPr>
    </w:lvl>
    <w:lvl w:ilvl="5">
      <w:start w:val="27"/>
      <w:numFmt w:val="none"/>
      <w:lvlText w:val=""/>
      <w:lvlJc w:val="left"/>
      <w:pPr>
        <w:tabs>
          <w:tab w:val="num" w:pos="0"/>
        </w:tabs>
        <w:ind w:left="0" w:firstLine="0"/>
      </w:pPr>
      <w:rPr>
        <w:rFonts w:hint="default"/>
        <w:b w:val="0"/>
        <w:i w:val="0"/>
        <w:caps w:val="0"/>
        <w:sz w:val="18"/>
        <w:szCs w:val="18"/>
      </w:rPr>
    </w:lvl>
    <w:lvl w:ilvl="6">
      <w:start w:val="1"/>
      <w:numFmt w:val="none"/>
      <w:suff w:val="nothing"/>
      <w:lvlText w:val=""/>
      <w:lvlJc w:val="left"/>
      <w:pPr>
        <w:ind w:left="0" w:firstLine="0"/>
      </w:pPr>
      <w:rPr>
        <w:rFonts w:ascii="Times New Roman" w:hAnsi="Times New Roman" w:hint="default"/>
        <w:b w:val="0"/>
        <w:i w:val="0"/>
      </w:rPr>
    </w:lvl>
    <w:lvl w:ilvl="7">
      <w:start w:val="1"/>
      <w:numFmt w:val="none"/>
      <w:suff w:val="nothing"/>
      <w:lvlText w:val=""/>
      <w:lvlJc w:val="left"/>
      <w:pPr>
        <w:ind w:left="0" w:firstLine="0"/>
      </w:pPr>
      <w:rPr>
        <w:rFonts w:ascii="Times New Roman" w:hAnsi="Times New Roman" w:hint="default"/>
        <w:b w:val="0"/>
        <w:i w:val="0"/>
      </w:rPr>
    </w:lvl>
    <w:lvl w:ilvl="8">
      <w:start w:val="1"/>
      <w:numFmt w:val="none"/>
      <w:suff w:val="nothing"/>
      <w:lvlText w:val=""/>
      <w:lvlJc w:val="left"/>
      <w:pPr>
        <w:ind w:left="0" w:firstLine="0"/>
      </w:pPr>
      <w:rPr>
        <w:rFonts w:ascii="Times New Roman" w:hAnsi="Times New Roman" w:hint="default"/>
        <w:b w:val="0"/>
        <w:i w:val="0"/>
      </w:rPr>
    </w:lvl>
  </w:abstractNum>
  <w:abstractNum w:abstractNumId="35" w15:restartNumberingAfterBreak="0">
    <w:nsid w:val="41AE6517"/>
    <w:multiLevelType w:val="multilevel"/>
    <w:tmpl w:val="773C9390"/>
    <w:lvl w:ilvl="0">
      <w:start w:val="1"/>
      <w:numFmt w:val="upperLetter"/>
      <w:pStyle w:val="RecitalsAshurst"/>
      <w:lvlText w:val="(%1)"/>
      <w:lvlJc w:val="left"/>
      <w:pPr>
        <w:tabs>
          <w:tab w:val="num" w:pos="782"/>
        </w:tabs>
        <w:ind w:left="782" w:hanging="782"/>
      </w:pPr>
      <w:rPr>
        <w:rFonts w:hint="default"/>
        <w:b w:val="0"/>
        <w:i w:val="0"/>
        <w:sz w:val="18"/>
        <w:szCs w:val="18"/>
      </w:rPr>
    </w:lvl>
    <w:lvl w:ilvl="1">
      <w:start w:val="1"/>
      <w:numFmt w:val="none"/>
      <w:lvlText w:val=""/>
      <w:lvlJc w:val="left"/>
      <w:pPr>
        <w:tabs>
          <w:tab w:val="num" w:pos="782"/>
        </w:tabs>
        <w:ind w:left="782" w:hanging="782"/>
      </w:pPr>
      <w:rPr>
        <w:rFonts w:hint="default"/>
        <w:b w:val="0"/>
        <w:i w:val="0"/>
        <w:sz w:val="18"/>
        <w:szCs w:val="18"/>
      </w:rPr>
    </w:lvl>
    <w:lvl w:ilvl="2">
      <w:start w:val="1"/>
      <w:numFmt w:val="none"/>
      <w:lvlText w:val=""/>
      <w:lvlJc w:val="left"/>
      <w:pPr>
        <w:tabs>
          <w:tab w:val="num" w:pos="1406"/>
        </w:tabs>
        <w:ind w:left="1406" w:hanging="624"/>
      </w:pPr>
      <w:rPr>
        <w:rFonts w:hint="default"/>
        <w:b w:val="0"/>
        <w:i w:val="0"/>
        <w:sz w:val="18"/>
        <w:szCs w:val="18"/>
      </w:rPr>
    </w:lvl>
    <w:lvl w:ilvl="3">
      <w:start w:val="1"/>
      <w:numFmt w:val="none"/>
      <w:lvlText w:val=""/>
      <w:lvlJc w:val="left"/>
      <w:pPr>
        <w:tabs>
          <w:tab w:val="num" w:pos="2030"/>
        </w:tabs>
        <w:ind w:left="2030" w:hanging="624"/>
      </w:pPr>
      <w:rPr>
        <w:rFonts w:hint="default"/>
        <w:b w:val="0"/>
        <w:i w:val="0"/>
        <w:sz w:val="18"/>
        <w:szCs w:val="18"/>
      </w:rPr>
    </w:lvl>
    <w:lvl w:ilvl="4">
      <w:start w:val="1"/>
      <w:numFmt w:val="none"/>
      <w:lvlText w:val=""/>
      <w:lvlJc w:val="left"/>
      <w:pPr>
        <w:tabs>
          <w:tab w:val="num" w:pos="2653"/>
        </w:tabs>
        <w:ind w:left="2653" w:hanging="623"/>
      </w:pPr>
      <w:rPr>
        <w:rFonts w:hint="default"/>
        <w:b w:val="0"/>
        <w:i w:val="0"/>
        <w:sz w:val="18"/>
        <w:szCs w:val="18"/>
      </w:rPr>
    </w:lvl>
    <w:lvl w:ilvl="5">
      <w:start w:val="27"/>
      <w:numFmt w:val="none"/>
      <w:lvlText w:val=""/>
      <w:lvlJc w:val="left"/>
      <w:pPr>
        <w:tabs>
          <w:tab w:val="num" w:pos="3277"/>
        </w:tabs>
        <w:ind w:left="3277" w:hanging="624"/>
      </w:pPr>
      <w:rPr>
        <w:rFonts w:hint="default"/>
        <w:b w:val="0"/>
        <w:i w:val="0"/>
        <w:sz w:val="18"/>
        <w:szCs w:val="18"/>
      </w:rPr>
    </w:lvl>
    <w:lvl w:ilvl="6">
      <w:start w:val="1"/>
      <w:numFmt w:val="none"/>
      <w:lvlText w:val=""/>
      <w:lvlJc w:val="left"/>
      <w:pPr>
        <w:tabs>
          <w:tab w:val="num" w:pos="0"/>
        </w:tabs>
        <w:ind w:left="0" w:firstLine="0"/>
      </w:pPr>
      <w:rPr>
        <w:rFonts w:hint="default"/>
      </w:rPr>
    </w:lvl>
    <w:lvl w:ilvl="7">
      <w:start w:val="1"/>
      <w:numFmt w:val="none"/>
      <w:lvlText w:val=""/>
      <w:lvlJc w:val="left"/>
      <w:pPr>
        <w:tabs>
          <w:tab w:val="num" w:pos="0"/>
        </w:tabs>
        <w:ind w:left="0" w:firstLine="0"/>
      </w:pPr>
      <w:rPr>
        <w:rFonts w:hint="default"/>
      </w:rPr>
    </w:lvl>
    <w:lvl w:ilvl="8">
      <w:start w:val="1"/>
      <w:numFmt w:val="none"/>
      <w:lvlRestart w:val="0"/>
      <w:lvlText w:val=""/>
      <w:lvlJc w:val="left"/>
      <w:pPr>
        <w:tabs>
          <w:tab w:val="num" w:pos="0"/>
        </w:tabs>
        <w:ind w:left="0" w:firstLine="0"/>
      </w:pPr>
      <w:rPr>
        <w:rFonts w:hint="default"/>
      </w:rPr>
    </w:lvl>
  </w:abstractNum>
  <w:abstractNum w:abstractNumId="36" w15:restartNumberingAfterBreak="0">
    <w:nsid w:val="42A02754"/>
    <w:multiLevelType w:val="hybridMultilevel"/>
    <w:tmpl w:val="E140CDF4"/>
    <w:lvl w:ilvl="0" w:tplc="0809000F">
      <w:start w:val="1"/>
      <w:numFmt w:val="decimal"/>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7" w15:restartNumberingAfterBreak="0">
    <w:nsid w:val="44302431"/>
    <w:multiLevelType w:val="multilevel"/>
    <w:tmpl w:val="1DBE7566"/>
    <w:lvl w:ilvl="0">
      <w:start w:val="1"/>
      <w:numFmt w:val="decimal"/>
      <w:pStyle w:val="TableNum1OCAshurst"/>
      <w:suff w:val="nothing"/>
      <w:lvlText w:val="%1."/>
      <w:lvlJc w:val="left"/>
      <w:pPr>
        <w:ind w:left="0" w:firstLine="0"/>
      </w:pPr>
      <w:rPr>
        <w:rFonts w:hint="default"/>
        <w:b w:val="0"/>
        <w:i w:val="0"/>
        <w:sz w:val="18"/>
      </w:rPr>
    </w:lvl>
    <w:lvl w:ilvl="1">
      <w:start w:val="1"/>
      <w:numFmt w:val="decimal"/>
      <w:pStyle w:val="TableNum2OCAshurst"/>
      <w:suff w:val="nothing"/>
      <w:lvlText w:val="%1.%2"/>
      <w:lvlJc w:val="left"/>
      <w:pPr>
        <w:ind w:left="0" w:firstLine="0"/>
      </w:pPr>
      <w:rPr>
        <w:rFonts w:hint="default"/>
        <w:b w:val="0"/>
        <w:i w:val="0"/>
        <w:sz w:val="18"/>
        <w:szCs w:val="18"/>
      </w:rPr>
    </w:lvl>
    <w:lvl w:ilvl="2">
      <w:start w:val="1"/>
      <w:numFmt w:val="lowerLetter"/>
      <w:pStyle w:val="TableNum3OCAshurst"/>
      <w:suff w:val="nothing"/>
      <w:lvlText w:val="(%3)"/>
      <w:lvlJc w:val="left"/>
      <w:pPr>
        <w:ind w:left="0" w:firstLine="0"/>
      </w:pPr>
      <w:rPr>
        <w:rFonts w:hint="default"/>
        <w:b w:val="0"/>
        <w:i w:val="0"/>
        <w:sz w:val="18"/>
        <w:szCs w:val="18"/>
      </w:rPr>
    </w:lvl>
    <w:lvl w:ilvl="3">
      <w:start w:val="1"/>
      <w:numFmt w:val="lowerRoman"/>
      <w:pStyle w:val="TableNum4OCAshurst"/>
      <w:suff w:val="nothing"/>
      <w:lvlText w:val="(%4)"/>
      <w:lvlJc w:val="left"/>
      <w:pPr>
        <w:ind w:left="0" w:firstLine="0"/>
      </w:pPr>
      <w:rPr>
        <w:rFonts w:hint="default"/>
        <w:b w:val="0"/>
        <w:i w:val="0"/>
        <w:sz w:val="20"/>
        <w:szCs w:val="20"/>
      </w:rPr>
    </w:lvl>
    <w:lvl w:ilvl="4">
      <w:start w:val="1"/>
      <w:numFmt w:val="upperLetter"/>
      <w:pStyle w:val="TableNum5OCAshurst"/>
      <w:suff w:val="nothing"/>
      <w:lvlText w:val="(%5)"/>
      <w:lvlJc w:val="left"/>
      <w:pPr>
        <w:ind w:left="0" w:firstLine="0"/>
      </w:pPr>
      <w:rPr>
        <w:rFonts w:hint="default"/>
        <w:b w:val="0"/>
        <w:i w:val="0"/>
        <w:sz w:val="18"/>
        <w:szCs w:val="18"/>
      </w:rPr>
    </w:lvl>
    <w:lvl w:ilvl="5">
      <w:start w:val="1"/>
      <w:numFmt w:val="decimal"/>
      <w:pStyle w:val="TableNum6OCAshurst"/>
      <w:suff w:val="nothing"/>
      <w:lvlText w:val="(%6)"/>
      <w:lvlJc w:val="left"/>
      <w:pPr>
        <w:ind w:left="0" w:firstLine="0"/>
      </w:pPr>
      <w:rPr>
        <w:rFonts w:hint="default"/>
        <w:b w:val="0"/>
        <w:i w:val="0"/>
        <w:sz w:val="18"/>
        <w:szCs w:val="18"/>
      </w:rPr>
    </w:lvl>
    <w:lvl w:ilvl="6">
      <w:start w:val="1"/>
      <w:numFmt w:val="none"/>
      <w:lvlRestart w:val="0"/>
      <w:suff w:val="nothing"/>
      <w:lvlText w:val=""/>
      <w:lvlJc w:val="left"/>
      <w:pPr>
        <w:ind w:left="0" w:firstLine="0"/>
      </w:pPr>
      <w:rPr>
        <w:rFonts w:hint="default"/>
      </w:rPr>
    </w:lvl>
    <w:lvl w:ilvl="7">
      <w:start w:val="1"/>
      <w:numFmt w:val="none"/>
      <w:lvlRestart w:val="0"/>
      <w:suff w:val="nothing"/>
      <w:lvlText w:val=""/>
      <w:lvlJc w:val="left"/>
      <w:pPr>
        <w:ind w:left="0" w:firstLine="0"/>
      </w:pPr>
      <w:rPr>
        <w:rFonts w:hint="default"/>
      </w:rPr>
    </w:lvl>
    <w:lvl w:ilvl="8">
      <w:start w:val="1"/>
      <w:numFmt w:val="none"/>
      <w:lvlRestart w:val="0"/>
      <w:suff w:val="nothing"/>
      <w:lvlText w:val=""/>
      <w:lvlJc w:val="left"/>
      <w:pPr>
        <w:ind w:left="0" w:firstLine="0"/>
      </w:pPr>
      <w:rPr>
        <w:rFonts w:hint="default"/>
      </w:rPr>
    </w:lvl>
  </w:abstractNum>
  <w:abstractNum w:abstractNumId="38" w15:restartNumberingAfterBreak="0">
    <w:nsid w:val="4ED1674E"/>
    <w:multiLevelType w:val="multilevel"/>
    <w:tmpl w:val="7406A8A2"/>
    <w:lvl w:ilvl="0">
      <w:start w:val="1"/>
      <w:numFmt w:val="none"/>
      <w:pStyle w:val="DefinitionsClauseAshurst"/>
      <w:suff w:val="nothing"/>
      <w:lvlText w:val=""/>
      <w:lvlJc w:val="left"/>
      <w:pPr>
        <w:ind w:left="782" w:firstLine="0"/>
      </w:pPr>
      <w:rPr>
        <w:rFonts w:ascii="Verdana" w:hAnsi="Verdana" w:hint="default"/>
        <w:b w:val="0"/>
        <w:i w:val="0"/>
        <w:sz w:val="18"/>
        <w:szCs w:val="18"/>
      </w:rPr>
    </w:lvl>
    <w:lvl w:ilvl="1">
      <w:start w:val="1"/>
      <w:numFmt w:val="lowerLetter"/>
      <w:pStyle w:val="DefinitionsAshurst"/>
      <w:lvlText w:val="(%2)"/>
      <w:lvlJc w:val="left"/>
      <w:pPr>
        <w:tabs>
          <w:tab w:val="num" w:pos="766"/>
        </w:tabs>
        <w:ind w:left="766" w:hanging="624"/>
      </w:pPr>
      <w:rPr>
        <w:rFonts w:ascii="Times New Roman" w:hAnsi="Times New Roman" w:cs="Times New Roman" w:hint="default"/>
        <w:b w:val="0"/>
        <w:i w:val="0"/>
        <w:sz w:val="20"/>
        <w:szCs w:val="20"/>
      </w:rPr>
    </w:lvl>
    <w:lvl w:ilvl="2">
      <w:start w:val="1"/>
      <w:numFmt w:val="lowerRoman"/>
      <w:pStyle w:val="DefSubAshurst"/>
      <w:lvlText w:val="(%3)"/>
      <w:lvlJc w:val="left"/>
      <w:pPr>
        <w:tabs>
          <w:tab w:val="num" w:pos="2030"/>
        </w:tabs>
        <w:ind w:left="2030" w:hanging="624"/>
      </w:pPr>
      <w:rPr>
        <w:rFonts w:hint="default"/>
      </w:rPr>
    </w:lvl>
    <w:lvl w:ilvl="3">
      <w:start w:val="1"/>
      <w:numFmt w:val="upperLetter"/>
      <w:pStyle w:val="DefSubSubAshurst"/>
      <w:lvlText w:val="(%4)"/>
      <w:lvlJc w:val="left"/>
      <w:pPr>
        <w:tabs>
          <w:tab w:val="num" w:pos="2654"/>
        </w:tabs>
        <w:ind w:left="2654" w:hanging="624"/>
      </w:pPr>
      <w:rPr>
        <w:rFonts w:hint="default"/>
      </w:rPr>
    </w:lvl>
    <w:lvl w:ilvl="4">
      <w:start w:val="1"/>
      <w:numFmt w:val="none"/>
      <w:suff w:val="nothing"/>
      <w:lvlText w:val=""/>
      <w:lvlJc w:val="left"/>
      <w:pPr>
        <w:ind w:left="1564" w:firstLine="0"/>
      </w:pPr>
      <w:rPr>
        <w:rFonts w:hint="default"/>
      </w:rPr>
    </w:lvl>
    <w:lvl w:ilvl="5">
      <w:start w:val="1"/>
      <w:numFmt w:val="none"/>
      <w:suff w:val="nothing"/>
      <w:lvlText w:val=""/>
      <w:lvlJc w:val="left"/>
      <w:pPr>
        <w:ind w:left="1564" w:firstLine="0"/>
      </w:pPr>
      <w:rPr>
        <w:rFonts w:hint="default"/>
      </w:rPr>
    </w:lvl>
    <w:lvl w:ilvl="6">
      <w:start w:val="1"/>
      <w:numFmt w:val="none"/>
      <w:suff w:val="nothing"/>
      <w:lvlText w:val=""/>
      <w:lvlJc w:val="left"/>
      <w:pPr>
        <w:ind w:left="1564" w:firstLine="0"/>
      </w:pPr>
      <w:rPr>
        <w:rFonts w:hint="default"/>
      </w:rPr>
    </w:lvl>
    <w:lvl w:ilvl="7">
      <w:start w:val="1"/>
      <w:numFmt w:val="none"/>
      <w:suff w:val="nothing"/>
      <w:lvlText w:val=""/>
      <w:lvlJc w:val="left"/>
      <w:pPr>
        <w:ind w:left="1564" w:firstLine="0"/>
      </w:pPr>
      <w:rPr>
        <w:rFonts w:hint="default"/>
      </w:rPr>
    </w:lvl>
    <w:lvl w:ilvl="8">
      <w:start w:val="1"/>
      <w:numFmt w:val="none"/>
      <w:suff w:val="nothing"/>
      <w:lvlText w:val=""/>
      <w:lvlJc w:val="left"/>
      <w:pPr>
        <w:ind w:left="1564" w:firstLine="0"/>
      </w:pPr>
      <w:rPr>
        <w:rFonts w:hint="default"/>
      </w:rPr>
    </w:lvl>
  </w:abstractNum>
  <w:abstractNum w:abstractNumId="39" w15:restartNumberingAfterBreak="0">
    <w:nsid w:val="4F4B3ADF"/>
    <w:multiLevelType w:val="multilevel"/>
    <w:tmpl w:val="94F4EF9E"/>
    <w:lvl w:ilvl="0">
      <w:start w:val="1"/>
      <w:numFmt w:val="decimal"/>
      <w:pStyle w:val="H1Ashurst"/>
      <w:lvlText w:val="%1."/>
      <w:lvlJc w:val="left"/>
      <w:pPr>
        <w:tabs>
          <w:tab w:val="num" w:pos="782"/>
        </w:tabs>
        <w:ind w:left="782" w:hanging="782"/>
      </w:pPr>
      <w:rPr>
        <w:rFonts w:hint="default"/>
        <w:b w:val="0"/>
        <w:i w:val="0"/>
        <w:sz w:val="18"/>
      </w:rPr>
    </w:lvl>
    <w:lvl w:ilvl="1">
      <w:start w:val="1"/>
      <w:numFmt w:val="decimal"/>
      <w:pStyle w:val="H2Ashurst"/>
      <w:lvlText w:val="%1.%2"/>
      <w:lvlJc w:val="left"/>
      <w:pPr>
        <w:tabs>
          <w:tab w:val="num" w:pos="782"/>
        </w:tabs>
        <w:ind w:left="782" w:hanging="782"/>
      </w:pPr>
      <w:rPr>
        <w:rFonts w:hint="default"/>
        <w:b w:val="0"/>
        <w:i w:val="0"/>
        <w:sz w:val="18"/>
        <w:szCs w:val="18"/>
      </w:rPr>
    </w:lvl>
    <w:lvl w:ilvl="2">
      <w:start w:val="1"/>
      <w:numFmt w:val="lowerLetter"/>
      <w:pStyle w:val="H3Ashurst"/>
      <w:lvlText w:val="(%3)"/>
      <w:lvlJc w:val="left"/>
      <w:pPr>
        <w:tabs>
          <w:tab w:val="num" w:pos="1191"/>
        </w:tabs>
        <w:ind w:left="1191" w:hanging="624"/>
      </w:pPr>
      <w:rPr>
        <w:rFonts w:hint="default"/>
        <w:b w:val="0"/>
        <w:i w:val="0"/>
        <w:sz w:val="18"/>
        <w:szCs w:val="18"/>
      </w:rPr>
    </w:lvl>
    <w:lvl w:ilvl="3">
      <w:start w:val="1"/>
      <w:numFmt w:val="lowerRoman"/>
      <w:pStyle w:val="H4Ashurst"/>
      <w:lvlText w:val="(%4)"/>
      <w:lvlJc w:val="left"/>
      <w:pPr>
        <w:tabs>
          <w:tab w:val="num" w:pos="2030"/>
        </w:tabs>
        <w:ind w:left="2030" w:hanging="624"/>
      </w:pPr>
      <w:rPr>
        <w:rFonts w:hint="default"/>
        <w:b w:val="0"/>
        <w:i w:val="0"/>
        <w:sz w:val="18"/>
        <w:szCs w:val="18"/>
      </w:rPr>
    </w:lvl>
    <w:lvl w:ilvl="4">
      <w:start w:val="1"/>
      <w:numFmt w:val="upperLetter"/>
      <w:pStyle w:val="H5Ashurst"/>
      <w:lvlText w:val="(%5)"/>
      <w:lvlJc w:val="left"/>
      <w:pPr>
        <w:tabs>
          <w:tab w:val="num" w:pos="2653"/>
        </w:tabs>
        <w:ind w:left="2653" w:hanging="623"/>
      </w:pPr>
      <w:rPr>
        <w:rFonts w:hint="default"/>
        <w:b w:val="0"/>
        <w:i w:val="0"/>
        <w:sz w:val="18"/>
        <w:szCs w:val="18"/>
      </w:rPr>
    </w:lvl>
    <w:lvl w:ilvl="5">
      <w:start w:val="27"/>
      <w:numFmt w:val="lowerLetter"/>
      <w:pStyle w:val="H6Ashurst"/>
      <w:lvlText w:val="(%6)"/>
      <w:lvlJc w:val="left"/>
      <w:pPr>
        <w:tabs>
          <w:tab w:val="num" w:pos="3277"/>
        </w:tabs>
        <w:ind w:left="3277" w:hanging="624"/>
      </w:pPr>
      <w:rPr>
        <w:rFonts w:hint="default"/>
        <w:b w:val="0"/>
        <w:i w:val="0"/>
        <w:sz w:val="18"/>
        <w:szCs w:val="18"/>
      </w:rPr>
    </w:lvl>
    <w:lvl w:ilvl="6">
      <w:start w:val="1"/>
      <w:numFmt w:val="lowerLetter"/>
      <w:pStyle w:val="H7Ashurst"/>
      <w:lvlText w:val="(%7)"/>
      <w:lvlJc w:val="left"/>
      <w:pPr>
        <w:tabs>
          <w:tab w:val="num" w:pos="3901"/>
        </w:tabs>
        <w:ind w:left="3901" w:hanging="624"/>
      </w:pPr>
      <w:rPr>
        <w:rFonts w:hint="default"/>
      </w:rPr>
    </w:lvl>
    <w:lvl w:ilvl="7">
      <w:start w:val="1"/>
      <w:numFmt w:val="lowerRoman"/>
      <w:pStyle w:val="H8Ashurst"/>
      <w:lvlText w:val="(%8)"/>
      <w:lvlJc w:val="left"/>
      <w:pPr>
        <w:tabs>
          <w:tab w:val="num" w:pos="4525"/>
        </w:tabs>
        <w:ind w:left="4525" w:hanging="624"/>
      </w:pPr>
      <w:rPr>
        <w:rFonts w:hint="default"/>
      </w:rPr>
    </w:lvl>
    <w:lvl w:ilvl="8">
      <w:start w:val="1"/>
      <w:numFmt w:val="none"/>
      <w:lvlText w:val=""/>
      <w:lvlJc w:val="left"/>
      <w:pPr>
        <w:tabs>
          <w:tab w:val="num" w:pos="0"/>
        </w:tabs>
        <w:ind w:left="0" w:firstLine="0"/>
      </w:pPr>
      <w:rPr>
        <w:rFonts w:hint="default"/>
      </w:rPr>
    </w:lvl>
  </w:abstractNum>
  <w:abstractNum w:abstractNumId="40" w15:restartNumberingAfterBreak="0">
    <w:nsid w:val="57C67C4B"/>
    <w:multiLevelType w:val="hybridMultilevel"/>
    <w:tmpl w:val="E86E7356"/>
    <w:lvl w:ilvl="0" w:tplc="25C8F6C0">
      <w:start w:val="1"/>
      <w:numFmt w:val="bullet"/>
      <w:pStyle w:val="Bullet6Ashurst"/>
      <w:lvlText w:val=""/>
      <w:lvlJc w:val="left"/>
      <w:pPr>
        <w:tabs>
          <w:tab w:val="num" w:pos="3901"/>
        </w:tabs>
        <w:ind w:left="3901" w:hanging="624"/>
      </w:pPr>
      <w:rPr>
        <w:rFonts w:ascii="Symbol" w:hAnsi="Symbol" w:hint="default"/>
        <w:b w:val="0"/>
        <w:i w:val="0"/>
        <w:sz w:val="18"/>
        <w:szCs w:val="18"/>
      </w:rPr>
    </w:lvl>
    <w:lvl w:ilvl="1" w:tplc="ED50A932" w:tentative="1">
      <w:start w:val="1"/>
      <w:numFmt w:val="bullet"/>
      <w:lvlText w:val="o"/>
      <w:lvlJc w:val="left"/>
      <w:pPr>
        <w:tabs>
          <w:tab w:val="num" w:pos="1440"/>
        </w:tabs>
        <w:ind w:left="1440" w:hanging="360"/>
      </w:pPr>
      <w:rPr>
        <w:rFonts w:ascii="Courier New" w:hAnsi="Courier New" w:cs="Courier New" w:hint="default"/>
      </w:rPr>
    </w:lvl>
    <w:lvl w:ilvl="2" w:tplc="818070DC" w:tentative="1">
      <w:start w:val="1"/>
      <w:numFmt w:val="bullet"/>
      <w:lvlText w:val=""/>
      <w:lvlJc w:val="left"/>
      <w:pPr>
        <w:tabs>
          <w:tab w:val="num" w:pos="2160"/>
        </w:tabs>
        <w:ind w:left="2160" w:hanging="360"/>
      </w:pPr>
      <w:rPr>
        <w:rFonts w:ascii="Wingdings" w:hAnsi="Wingdings" w:hint="default"/>
      </w:rPr>
    </w:lvl>
    <w:lvl w:ilvl="3" w:tplc="434E5D2E" w:tentative="1">
      <w:start w:val="1"/>
      <w:numFmt w:val="bullet"/>
      <w:lvlText w:val=""/>
      <w:lvlJc w:val="left"/>
      <w:pPr>
        <w:tabs>
          <w:tab w:val="num" w:pos="2880"/>
        </w:tabs>
        <w:ind w:left="2880" w:hanging="360"/>
      </w:pPr>
      <w:rPr>
        <w:rFonts w:ascii="Symbol" w:hAnsi="Symbol" w:hint="default"/>
      </w:rPr>
    </w:lvl>
    <w:lvl w:ilvl="4" w:tplc="24AC4EB6" w:tentative="1">
      <w:start w:val="1"/>
      <w:numFmt w:val="bullet"/>
      <w:lvlText w:val="o"/>
      <w:lvlJc w:val="left"/>
      <w:pPr>
        <w:tabs>
          <w:tab w:val="num" w:pos="3600"/>
        </w:tabs>
        <w:ind w:left="3600" w:hanging="360"/>
      </w:pPr>
      <w:rPr>
        <w:rFonts w:ascii="Courier New" w:hAnsi="Courier New" w:cs="Courier New" w:hint="default"/>
      </w:rPr>
    </w:lvl>
    <w:lvl w:ilvl="5" w:tplc="F8BC0128" w:tentative="1">
      <w:start w:val="1"/>
      <w:numFmt w:val="bullet"/>
      <w:lvlText w:val=""/>
      <w:lvlJc w:val="left"/>
      <w:pPr>
        <w:tabs>
          <w:tab w:val="num" w:pos="4320"/>
        </w:tabs>
        <w:ind w:left="4320" w:hanging="360"/>
      </w:pPr>
      <w:rPr>
        <w:rFonts w:ascii="Wingdings" w:hAnsi="Wingdings" w:hint="default"/>
      </w:rPr>
    </w:lvl>
    <w:lvl w:ilvl="6" w:tplc="C55E5A5A" w:tentative="1">
      <w:start w:val="1"/>
      <w:numFmt w:val="bullet"/>
      <w:lvlText w:val=""/>
      <w:lvlJc w:val="left"/>
      <w:pPr>
        <w:tabs>
          <w:tab w:val="num" w:pos="5040"/>
        </w:tabs>
        <w:ind w:left="5040" w:hanging="360"/>
      </w:pPr>
      <w:rPr>
        <w:rFonts w:ascii="Symbol" w:hAnsi="Symbol" w:hint="default"/>
      </w:rPr>
    </w:lvl>
    <w:lvl w:ilvl="7" w:tplc="C5447E04" w:tentative="1">
      <w:start w:val="1"/>
      <w:numFmt w:val="bullet"/>
      <w:lvlText w:val="o"/>
      <w:lvlJc w:val="left"/>
      <w:pPr>
        <w:tabs>
          <w:tab w:val="num" w:pos="5760"/>
        </w:tabs>
        <w:ind w:left="5760" w:hanging="360"/>
      </w:pPr>
      <w:rPr>
        <w:rFonts w:ascii="Courier New" w:hAnsi="Courier New" w:cs="Courier New" w:hint="default"/>
      </w:rPr>
    </w:lvl>
    <w:lvl w:ilvl="8" w:tplc="C5C49210"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58D77A9B"/>
    <w:multiLevelType w:val="hybridMultilevel"/>
    <w:tmpl w:val="6F441260"/>
    <w:name w:val="WW8Num62"/>
    <w:lvl w:ilvl="0" w:tplc="A2E83906">
      <w:start w:val="1"/>
      <w:numFmt w:val="lowerRoman"/>
      <w:lvlText w:val="(%1)"/>
      <w:lvlJc w:val="left"/>
      <w:pPr>
        <w:tabs>
          <w:tab w:val="num" w:pos="2030"/>
        </w:tabs>
        <w:ind w:left="2030" w:hanging="624"/>
      </w:pPr>
      <w:rPr>
        <w:rFonts w:hint="default"/>
        <w:b w:val="0"/>
        <w:i w:val="0"/>
        <w:sz w:val="18"/>
        <w:szCs w:val="18"/>
      </w:rPr>
    </w:lvl>
    <w:lvl w:ilvl="1" w:tplc="140A3A20" w:tentative="1">
      <w:start w:val="1"/>
      <w:numFmt w:val="lowerLetter"/>
      <w:lvlText w:val="%2."/>
      <w:lvlJc w:val="left"/>
      <w:pPr>
        <w:tabs>
          <w:tab w:val="num" w:pos="1440"/>
        </w:tabs>
        <w:ind w:left="1440" w:hanging="360"/>
      </w:pPr>
    </w:lvl>
    <w:lvl w:ilvl="2" w:tplc="6CAA223A" w:tentative="1">
      <w:start w:val="1"/>
      <w:numFmt w:val="lowerRoman"/>
      <w:lvlText w:val="%3."/>
      <w:lvlJc w:val="right"/>
      <w:pPr>
        <w:tabs>
          <w:tab w:val="num" w:pos="2160"/>
        </w:tabs>
        <w:ind w:left="2160" w:hanging="180"/>
      </w:pPr>
    </w:lvl>
    <w:lvl w:ilvl="3" w:tplc="90800B0C" w:tentative="1">
      <w:start w:val="1"/>
      <w:numFmt w:val="decimal"/>
      <w:lvlText w:val="%4."/>
      <w:lvlJc w:val="left"/>
      <w:pPr>
        <w:tabs>
          <w:tab w:val="num" w:pos="2880"/>
        </w:tabs>
        <w:ind w:left="2880" w:hanging="360"/>
      </w:pPr>
    </w:lvl>
    <w:lvl w:ilvl="4" w:tplc="50FE9E24" w:tentative="1">
      <w:start w:val="1"/>
      <w:numFmt w:val="lowerLetter"/>
      <w:lvlText w:val="%5."/>
      <w:lvlJc w:val="left"/>
      <w:pPr>
        <w:tabs>
          <w:tab w:val="num" w:pos="3600"/>
        </w:tabs>
        <w:ind w:left="3600" w:hanging="360"/>
      </w:pPr>
    </w:lvl>
    <w:lvl w:ilvl="5" w:tplc="6064371A" w:tentative="1">
      <w:start w:val="1"/>
      <w:numFmt w:val="lowerRoman"/>
      <w:lvlText w:val="%6."/>
      <w:lvlJc w:val="right"/>
      <w:pPr>
        <w:tabs>
          <w:tab w:val="num" w:pos="4320"/>
        </w:tabs>
        <w:ind w:left="4320" w:hanging="180"/>
      </w:pPr>
    </w:lvl>
    <w:lvl w:ilvl="6" w:tplc="4CDCE27E" w:tentative="1">
      <w:start w:val="1"/>
      <w:numFmt w:val="decimal"/>
      <w:lvlText w:val="%7."/>
      <w:lvlJc w:val="left"/>
      <w:pPr>
        <w:tabs>
          <w:tab w:val="num" w:pos="5040"/>
        </w:tabs>
        <w:ind w:left="5040" w:hanging="360"/>
      </w:pPr>
    </w:lvl>
    <w:lvl w:ilvl="7" w:tplc="96FA7942" w:tentative="1">
      <w:start w:val="1"/>
      <w:numFmt w:val="lowerLetter"/>
      <w:lvlText w:val="%8."/>
      <w:lvlJc w:val="left"/>
      <w:pPr>
        <w:tabs>
          <w:tab w:val="num" w:pos="5760"/>
        </w:tabs>
        <w:ind w:left="5760" w:hanging="360"/>
      </w:pPr>
    </w:lvl>
    <w:lvl w:ilvl="8" w:tplc="51E2ABC6" w:tentative="1">
      <w:start w:val="1"/>
      <w:numFmt w:val="lowerRoman"/>
      <w:lvlText w:val="%9."/>
      <w:lvlJc w:val="right"/>
      <w:pPr>
        <w:tabs>
          <w:tab w:val="num" w:pos="6480"/>
        </w:tabs>
        <w:ind w:left="6480" w:hanging="180"/>
      </w:pPr>
    </w:lvl>
  </w:abstractNum>
  <w:abstractNum w:abstractNumId="42" w15:restartNumberingAfterBreak="0">
    <w:nsid w:val="590A2B1B"/>
    <w:multiLevelType w:val="multilevel"/>
    <w:tmpl w:val="0809001D"/>
    <w:name w:val="AltSH1toSH6Ashurst2"/>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3" w15:restartNumberingAfterBreak="0">
    <w:nsid w:val="593047D9"/>
    <w:multiLevelType w:val="hybridMultilevel"/>
    <w:tmpl w:val="622A5644"/>
    <w:lvl w:ilvl="0" w:tplc="52668228">
      <w:start w:val="1"/>
      <w:numFmt w:val="bullet"/>
      <w:pStyle w:val="BulletAshurst"/>
      <w:lvlText w:val=""/>
      <w:lvlJc w:val="left"/>
      <w:pPr>
        <w:tabs>
          <w:tab w:val="num" w:pos="782"/>
        </w:tabs>
        <w:ind w:left="782" w:hanging="782"/>
      </w:pPr>
      <w:rPr>
        <w:rFonts w:ascii="Symbol" w:hAnsi="Symbol" w:hint="default"/>
      </w:rPr>
    </w:lvl>
    <w:lvl w:ilvl="1" w:tplc="A7B8E476" w:tentative="1">
      <w:start w:val="1"/>
      <w:numFmt w:val="bullet"/>
      <w:lvlText w:val="o"/>
      <w:lvlJc w:val="left"/>
      <w:pPr>
        <w:tabs>
          <w:tab w:val="num" w:pos="1440"/>
        </w:tabs>
        <w:ind w:left="1440" w:hanging="360"/>
      </w:pPr>
      <w:rPr>
        <w:rFonts w:ascii="Courier New" w:hAnsi="Courier New" w:cs="Courier New" w:hint="default"/>
      </w:rPr>
    </w:lvl>
    <w:lvl w:ilvl="2" w:tplc="47944B44" w:tentative="1">
      <w:start w:val="1"/>
      <w:numFmt w:val="bullet"/>
      <w:lvlText w:val=""/>
      <w:lvlJc w:val="left"/>
      <w:pPr>
        <w:tabs>
          <w:tab w:val="num" w:pos="2160"/>
        </w:tabs>
        <w:ind w:left="2160" w:hanging="360"/>
      </w:pPr>
      <w:rPr>
        <w:rFonts w:ascii="Wingdings" w:hAnsi="Wingdings" w:hint="default"/>
      </w:rPr>
    </w:lvl>
    <w:lvl w:ilvl="3" w:tplc="F4DAEC36" w:tentative="1">
      <w:start w:val="1"/>
      <w:numFmt w:val="bullet"/>
      <w:lvlText w:val=""/>
      <w:lvlJc w:val="left"/>
      <w:pPr>
        <w:tabs>
          <w:tab w:val="num" w:pos="2880"/>
        </w:tabs>
        <w:ind w:left="2880" w:hanging="360"/>
      </w:pPr>
      <w:rPr>
        <w:rFonts w:ascii="Symbol" w:hAnsi="Symbol" w:hint="default"/>
      </w:rPr>
    </w:lvl>
    <w:lvl w:ilvl="4" w:tplc="93F6D7D2" w:tentative="1">
      <w:start w:val="1"/>
      <w:numFmt w:val="bullet"/>
      <w:lvlText w:val="o"/>
      <w:lvlJc w:val="left"/>
      <w:pPr>
        <w:tabs>
          <w:tab w:val="num" w:pos="3600"/>
        </w:tabs>
        <w:ind w:left="3600" w:hanging="360"/>
      </w:pPr>
      <w:rPr>
        <w:rFonts w:ascii="Courier New" w:hAnsi="Courier New" w:cs="Courier New" w:hint="default"/>
      </w:rPr>
    </w:lvl>
    <w:lvl w:ilvl="5" w:tplc="51A22D76" w:tentative="1">
      <w:start w:val="1"/>
      <w:numFmt w:val="bullet"/>
      <w:lvlText w:val=""/>
      <w:lvlJc w:val="left"/>
      <w:pPr>
        <w:tabs>
          <w:tab w:val="num" w:pos="4320"/>
        </w:tabs>
        <w:ind w:left="4320" w:hanging="360"/>
      </w:pPr>
      <w:rPr>
        <w:rFonts w:ascii="Wingdings" w:hAnsi="Wingdings" w:hint="default"/>
      </w:rPr>
    </w:lvl>
    <w:lvl w:ilvl="6" w:tplc="57D032D2" w:tentative="1">
      <w:start w:val="1"/>
      <w:numFmt w:val="bullet"/>
      <w:lvlText w:val=""/>
      <w:lvlJc w:val="left"/>
      <w:pPr>
        <w:tabs>
          <w:tab w:val="num" w:pos="5040"/>
        </w:tabs>
        <w:ind w:left="5040" w:hanging="360"/>
      </w:pPr>
      <w:rPr>
        <w:rFonts w:ascii="Symbol" w:hAnsi="Symbol" w:hint="default"/>
      </w:rPr>
    </w:lvl>
    <w:lvl w:ilvl="7" w:tplc="F926ABA4" w:tentative="1">
      <w:start w:val="1"/>
      <w:numFmt w:val="bullet"/>
      <w:lvlText w:val="o"/>
      <w:lvlJc w:val="left"/>
      <w:pPr>
        <w:tabs>
          <w:tab w:val="num" w:pos="5760"/>
        </w:tabs>
        <w:ind w:left="5760" w:hanging="360"/>
      </w:pPr>
      <w:rPr>
        <w:rFonts w:ascii="Courier New" w:hAnsi="Courier New" w:cs="Courier New" w:hint="default"/>
      </w:rPr>
    </w:lvl>
    <w:lvl w:ilvl="8" w:tplc="3E78E5E8"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59DA3660"/>
    <w:multiLevelType w:val="multilevel"/>
    <w:tmpl w:val="0809001D"/>
    <w:name w:val="WW8Num372"/>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5" w15:restartNumberingAfterBreak="0">
    <w:nsid w:val="5DC7547A"/>
    <w:multiLevelType w:val="multilevel"/>
    <w:tmpl w:val="0809001D"/>
    <w:name w:val="AltSH1toSH6Ashurst3"/>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6" w15:restartNumberingAfterBreak="0">
    <w:nsid w:val="67F16158"/>
    <w:multiLevelType w:val="hybridMultilevel"/>
    <w:tmpl w:val="63ECDCCE"/>
    <w:lvl w:ilvl="0" w:tplc="61EAE9FE">
      <w:start w:val="1"/>
      <w:numFmt w:val="bullet"/>
      <w:pStyle w:val="Bullet3Ashurst"/>
      <w:lvlText w:val=""/>
      <w:lvlJc w:val="left"/>
      <w:pPr>
        <w:tabs>
          <w:tab w:val="num" w:pos="2030"/>
        </w:tabs>
        <w:ind w:left="2030" w:hanging="624"/>
      </w:pPr>
      <w:rPr>
        <w:rFonts w:ascii="Symbol" w:hAnsi="Symbol" w:hint="default"/>
        <w:b w:val="0"/>
        <w:i w:val="0"/>
        <w:sz w:val="18"/>
        <w:szCs w:val="18"/>
      </w:rPr>
    </w:lvl>
    <w:lvl w:ilvl="1" w:tplc="3CB20182" w:tentative="1">
      <w:start w:val="1"/>
      <w:numFmt w:val="bullet"/>
      <w:lvlText w:val="o"/>
      <w:lvlJc w:val="left"/>
      <w:pPr>
        <w:tabs>
          <w:tab w:val="num" w:pos="1440"/>
        </w:tabs>
        <w:ind w:left="1440" w:hanging="360"/>
      </w:pPr>
      <w:rPr>
        <w:rFonts w:ascii="Courier New" w:hAnsi="Courier New" w:cs="Courier New" w:hint="default"/>
      </w:rPr>
    </w:lvl>
    <w:lvl w:ilvl="2" w:tplc="341092E8" w:tentative="1">
      <w:start w:val="1"/>
      <w:numFmt w:val="bullet"/>
      <w:lvlText w:val=""/>
      <w:lvlJc w:val="left"/>
      <w:pPr>
        <w:tabs>
          <w:tab w:val="num" w:pos="2160"/>
        </w:tabs>
        <w:ind w:left="2160" w:hanging="360"/>
      </w:pPr>
      <w:rPr>
        <w:rFonts w:ascii="Wingdings" w:hAnsi="Wingdings" w:hint="default"/>
      </w:rPr>
    </w:lvl>
    <w:lvl w:ilvl="3" w:tplc="3E2A3E14" w:tentative="1">
      <w:start w:val="1"/>
      <w:numFmt w:val="bullet"/>
      <w:lvlText w:val=""/>
      <w:lvlJc w:val="left"/>
      <w:pPr>
        <w:tabs>
          <w:tab w:val="num" w:pos="2880"/>
        </w:tabs>
        <w:ind w:left="2880" w:hanging="360"/>
      </w:pPr>
      <w:rPr>
        <w:rFonts w:ascii="Symbol" w:hAnsi="Symbol" w:hint="default"/>
      </w:rPr>
    </w:lvl>
    <w:lvl w:ilvl="4" w:tplc="105CF266" w:tentative="1">
      <w:start w:val="1"/>
      <w:numFmt w:val="bullet"/>
      <w:lvlText w:val="o"/>
      <w:lvlJc w:val="left"/>
      <w:pPr>
        <w:tabs>
          <w:tab w:val="num" w:pos="3600"/>
        </w:tabs>
        <w:ind w:left="3600" w:hanging="360"/>
      </w:pPr>
      <w:rPr>
        <w:rFonts w:ascii="Courier New" w:hAnsi="Courier New" w:cs="Courier New" w:hint="default"/>
      </w:rPr>
    </w:lvl>
    <w:lvl w:ilvl="5" w:tplc="DA522C90" w:tentative="1">
      <w:start w:val="1"/>
      <w:numFmt w:val="bullet"/>
      <w:lvlText w:val=""/>
      <w:lvlJc w:val="left"/>
      <w:pPr>
        <w:tabs>
          <w:tab w:val="num" w:pos="4320"/>
        </w:tabs>
        <w:ind w:left="4320" w:hanging="360"/>
      </w:pPr>
      <w:rPr>
        <w:rFonts w:ascii="Wingdings" w:hAnsi="Wingdings" w:hint="default"/>
      </w:rPr>
    </w:lvl>
    <w:lvl w:ilvl="6" w:tplc="DE4CB294" w:tentative="1">
      <w:start w:val="1"/>
      <w:numFmt w:val="bullet"/>
      <w:lvlText w:val=""/>
      <w:lvlJc w:val="left"/>
      <w:pPr>
        <w:tabs>
          <w:tab w:val="num" w:pos="5040"/>
        </w:tabs>
        <w:ind w:left="5040" w:hanging="360"/>
      </w:pPr>
      <w:rPr>
        <w:rFonts w:ascii="Symbol" w:hAnsi="Symbol" w:hint="default"/>
      </w:rPr>
    </w:lvl>
    <w:lvl w:ilvl="7" w:tplc="66F2A8A6" w:tentative="1">
      <w:start w:val="1"/>
      <w:numFmt w:val="bullet"/>
      <w:lvlText w:val="o"/>
      <w:lvlJc w:val="left"/>
      <w:pPr>
        <w:tabs>
          <w:tab w:val="num" w:pos="5760"/>
        </w:tabs>
        <w:ind w:left="5760" w:hanging="360"/>
      </w:pPr>
      <w:rPr>
        <w:rFonts w:ascii="Courier New" w:hAnsi="Courier New" w:cs="Courier New" w:hint="default"/>
      </w:rPr>
    </w:lvl>
    <w:lvl w:ilvl="8" w:tplc="7144B830"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6816616F"/>
    <w:multiLevelType w:val="multilevel"/>
    <w:tmpl w:val="0809001F"/>
    <w:styleLink w:val="111111"/>
    <w:lvl w:ilvl="0">
      <w:start w:val="1"/>
      <w:numFmt w:val="decimal"/>
      <w:lvlText w:val="%1."/>
      <w:lvlJc w:val="left"/>
      <w:pPr>
        <w:ind w:left="360" w:hanging="360"/>
      </w:pPr>
      <w:rPr>
        <w:rFonts w:asciiTheme="minorHAnsi" w:eastAsiaTheme="minorEastAsia" w:hAnsiTheme="minorHAnsi" w:cstheme="minorBidi"/>
        <w:szCs w:val="26"/>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8" w15:restartNumberingAfterBreak="0">
    <w:nsid w:val="69246705"/>
    <w:multiLevelType w:val="multilevel"/>
    <w:tmpl w:val="0A907C1E"/>
    <w:lvl w:ilvl="0">
      <w:start w:val="1"/>
      <w:numFmt w:val="decimal"/>
      <w:pStyle w:val="TableNum1Ashurst"/>
      <w:suff w:val="nothing"/>
      <w:lvlText w:val="%1."/>
      <w:lvlJc w:val="left"/>
      <w:pPr>
        <w:ind w:left="0" w:firstLine="0"/>
      </w:pPr>
      <w:rPr>
        <w:rFonts w:hint="default"/>
        <w:b w:val="0"/>
        <w:i w:val="0"/>
        <w:sz w:val="18"/>
      </w:rPr>
    </w:lvl>
    <w:lvl w:ilvl="1">
      <w:start w:val="1"/>
      <w:numFmt w:val="decimal"/>
      <w:pStyle w:val="TableNum2Ashurst"/>
      <w:suff w:val="nothing"/>
      <w:lvlText w:val="%1.%2"/>
      <w:lvlJc w:val="left"/>
      <w:pPr>
        <w:ind w:left="0" w:firstLine="0"/>
      </w:pPr>
      <w:rPr>
        <w:rFonts w:hint="default"/>
        <w:b w:val="0"/>
        <w:i w:val="0"/>
        <w:sz w:val="18"/>
        <w:szCs w:val="18"/>
      </w:rPr>
    </w:lvl>
    <w:lvl w:ilvl="2">
      <w:start w:val="1"/>
      <w:numFmt w:val="lowerLetter"/>
      <w:pStyle w:val="TableNum3Ashurst"/>
      <w:suff w:val="nothing"/>
      <w:lvlText w:val="(%3)"/>
      <w:lvlJc w:val="left"/>
      <w:pPr>
        <w:ind w:left="0" w:firstLine="0"/>
      </w:pPr>
      <w:rPr>
        <w:rFonts w:hint="default"/>
        <w:b w:val="0"/>
        <w:i w:val="0"/>
        <w:sz w:val="18"/>
        <w:szCs w:val="18"/>
      </w:rPr>
    </w:lvl>
    <w:lvl w:ilvl="3">
      <w:start w:val="1"/>
      <w:numFmt w:val="lowerRoman"/>
      <w:pStyle w:val="TableNum4Ashurst"/>
      <w:suff w:val="nothing"/>
      <w:lvlText w:val="(%4)"/>
      <w:lvlJc w:val="left"/>
      <w:pPr>
        <w:ind w:left="0" w:firstLine="0"/>
      </w:pPr>
      <w:rPr>
        <w:rFonts w:hint="default"/>
        <w:b w:val="0"/>
        <w:i w:val="0"/>
        <w:sz w:val="18"/>
        <w:szCs w:val="18"/>
      </w:rPr>
    </w:lvl>
    <w:lvl w:ilvl="4">
      <w:start w:val="1"/>
      <w:numFmt w:val="upperLetter"/>
      <w:pStyle w:val="TableNum5Ashurst"/>
      <w:suff w:val="nothing"/>
      <w:lvlText w:val="(%5)"/>
      <w:lvlJc w:val="left"/>
      <w:pPr>
        <w:ind w:left="0" w:firstLine="0"/>
      </w:pPr>
      <w:rPr>
        <w:rFonts w:hint="default"/>
        <w:b w:val="0"/>
        <w:i w:val="0"/>
        <w:sz w:val="18"/>
        <w:szCs w:val="18"/>
      </w:rPr>
    </w:lvl>
    <w:lvl w:ilvl="5">
      <w:start w:val="27"/>
      <w:numFmt w:val="lowerLetter"/>
      <w:pStyle w:val="TableNum6Ashurst"/>
      <w:suff w:val="nothing"/>
      <w:lvlText w:val="(%6)"/>
      <w:lvlJc w:val="left"/>
      <w:pPr>
        <w:ind w:left="0" w:firstLine="0"/>
      </w:pPr>
      <w:rPr>
        <w:rFonts w:hint="default"/>
        <w:b w:val="0"/>
        <w:i w:val="0"/>
        <w:sz w:val="18"/>
        <w:szCs w:val="18"/>
      </w:rPr>
    </w:lvl>
    <w:lvl w:ilvl="6">
      <w:start w:val="1"/>
      <w:numFmt w:val="none"/>
      <w:lvlRestart w:val="0"/>
      <w:suff w:val="nothing"/>
      <w:lvlText w:val=""/>
      <w:lvlJc w:val="left"/>
      <w:pPr>
        <w:ind w:left="0" w:firstLine="0"/>
      </w:pPr>
      <w:rPr>
        <w:rFonts w:hint="default"/>
      </w:rPr>
    </w:lvl>
    <w:lvl w:ilvl="7">
      <w:start w:val="1"/>
      <w:numFmt w:val="none"/>
      <w:lvlRestart w:val="0"/>
      <w:suff w:val="nothing"/>
      <w:lvlText w:val=""/>
      <w:lvlJc w:val="left"/>
      <w:pPr>
        <w:ind w:left="0" w:firstLine="0"/>
      </w:pPr>
      <w:rPr>
        <w:rFonts w:hint="default"/>
      </w:rPr>
    </w:lvl>
    <w:lvl w:ilvl="8">
      <w:start w:val="1"/>
      <w:numFmt w:val="none"/>
      <w:lvlRestart w:val="0"/>
      <w:suff w:val="nothing"/>
      <w:lvlText w:val=""/>
      <w:lvlJc w:val="left"/>
      <w:pPr>
        <w:ind w:left="0" w:firstLine="0"/>
      </w:pPr>
      <w:rPr>
        <w:rFonts w:hint="default"/>
      </w:rPr>
    </w:lvl>
  </w:abstractNum>
  <w:abstractNum w:abstractNumId="49" w15:restartNumberingAfterBreak="0">
    <w:nsid w:val="69F474E1"/>
    <w:multiLevelType w:val="multilevel"/>
    <w:tmpl w:val="0809001D"/>
    <w:name w:val="H1toH6Ashurst3"/>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0" w15:restartNumberingAfterBreak="0">
    <w:nsid w:val="6D13513A"/>
    <w:multiLevelType w:val="hybridMultilevel"/>
    <w:tmpl w:val="F8AEB498"/>
    <w:lvl w:ilvl="0" w:tplc="3FFCFF74">
      <w:start w:val="1"/>
      <w:numFmt w:val="bullet"/>
      <w:pStyle w:val="Bullet4Ashurst"/>
      <w:lvlText w:val=""/>
      <w:lvlJc w:val="left"/>
      <w:pPr>
        <w:tabs>
          <w:tab w:val="num" w:pos="2654"/>
        </w:tabs>
        <w:ind w:left="2654" w:hanging="624"/>
      </w:pPr>
      <w:rPr>
        <w:rFonts w:ascii="Symbol" w:hAnsi="Symbol" w:hint="default"/>
        <w:b w:val="0"/>
        <w:i w:val="0"/>
        <w:sz w:val="18"/>
        <w:szCs w:val="18"/>
      </w:rPr>
    </w:lvl>
    <w:lvl w:ilvl="1" w:tplc="89E21566" w:tentative="1">
      <w:start w:val="1"/>
      <w:numFmt w:val="bullet"/>
      <w:lvlText w:val="o"/>
      <w:lvlJc w:val="left"/>
      <w:pPr>
        <w:tabs>
          <w:tab w:val="num" w:pos="1440"/>
        </w:tabs>
        <w:ind w:left="1440" w:hanging="360"/>
      </w:pPr>
      <w:rPr>
        <w:rFonts w:ascii="Courier New" w:hAnsi="Courier New" w:cs="Courier New" w:hint="default"/>
      </w:rPr>
    </w:lvl>
    <w:lvl w:ilvl="2" w:tplc="347A7E2C" w:tentative="1">
      <w:start w:val="1"/>
      <w:numFmt w:val="bullet"/>
      <w:lvlText w:val=""/>
      <w:lvlJc w:val="left"/>
      <w:pPr>
        <w:tabs>
          <w:tab w:val="num" w:pos="2160"/>
        </w:tabs>
        <w:ind w:left="2160" w:hanging="360"/>
      </w:pPr>
      <w:rPr>
        <w:rFonts w:ascii="Wingdings" w:hAnsi="Wingdings" w:hint="default"/>
      </w:rPr>
    </w:lvl>
    <w:lvl w:ilvl="3" w:tplc="F7CAA0B2" w:tentative="1">
      <w:start w:val="1"/>
      <w:numFmt w:val="bullet"/>
      <w:lvlText w:val=""/>
      <w:lvlJc w:val="left"/>
      <w:pPr>
        <w:tabs>
          <w:tab w:val="num" w:pos="2880"/>
        </w:tabs>
        <w:ind w:left="2880" w:hanging="360"/>
      </w:pPr>
      <w:rPr>
        <w:rFonts w:ascii="Symbol" w:hAnsi="Symbol" w:hint="default"/>
      </w:rPr>
    </w:lvl>
    <w:lvl w:ilvl="4" w:tplc="71B80C7A" w:tentative="1">
      <w:start w:val="1"/>
      <w:numFmt w:val="bullet"/>
      <w:lvlText w:val="o"/>
      <w:lvlJc w:val="left"/>
      <w:pPr>
        <w:tabs>
          <w:tab w:val="num" w:pos="3600"/>
        </w:tabs>
        <w:ind w:left="3600" w:hanging="360"/>
      </w:pPr>
      <w:rPr>
        <w:rFonts w:ascii="Courier New" w:hAnsi="Courier New" w:cs="Courier New" w:hint="default"/>
      </w:rPr>
    </w:lvl>
    <w:lvl w:ilvl="5" w:tplc="17D80EEE" w:tentative="1">
      <w:start w:val="1"/>
      <w:numFmt w:val="bullet"/>
      <w:lvlText w:val=""/>
      <w:lvlJc w:val="left"/>
      <w:pPr>
        <w:tabs>
          <w:tab w:val="num" w:pos="4320"/>
        </w:tabs>
        <w:ind w:left="4320" w:hanging="360"/>
      </w:pPr>
      <w:rPr>
        <w:rFonts w:ascii="Wingdings" w:hAnsi="Wingdings" w:hint="default"/>
      </w:rPr>
    </w:lvl>
    <w:lvl w:ilvl="6" w:tplc="3A3EAB2E" w:tentative="1">
      <w:start w:val="1"/>
      <w:numFmt w:val="bullet"/>
      <w:lvlText w:val=""/>
      <w:lvlJc w:val="left"/>
      <w:pPr>
        <w:tabs>
          <w:tab w:val="num" w:pos="5040"/>
        </w:tabs>
        <w:ind w:left="5040" w:hanging="360"/>
      </w:pPr>
      <w:rPr>
        <w:rFonts w:ascii="Symbol" w:hAnsi="Symbol" w:hint="default"/>
      </w:rPr>
    </w:lvl>
    <w:lvl w:ilvl="7" w:tplc="9AB45B68" w:tentative="1">
      <w:start w:val="1"/>
      <w:numFmt w:val="bullet"/>
      <w:lvlText w:val="o"/>
      <w:lvlJc w:val="left"/>
      <w:pPr>
        <w:tabs>
          <w:tab w:val="num" w:pos="5760"/>
        </w:tabs>
        <w:ind w:left="5760" w:hanging="360"/>
      </w:pPr>
      <w:rPr>
        <w:rFonts w:ascii="Courier New" w:hAnsi="Courier New" w:cs="Courier New" w:hint="default"/>
      </w:rPr>
    </w:lvl>
    <w:lvl w:ilvl="8" w:tplc="15A81FF0"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6FA97731"/>
    <w:multiLevelType w:val="multilevel"/>
    <w:tmpl w:val="0809001D"/>
    <w:name w:val="AltH1toH6Ashurst4"/>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2" w15:restartNumberingAfterBreak="0">
    <w:nsid w:val="6FCE09A2"/>
    <w:multiLevelType w:val="multilevel"/>
    <w:tmpl w:val="0809001D"/>
    <w:name w:val="AltH1toH6Ashurst2"/>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3" w15:restartNumberingAfterBreak="0">
    <w:nsid w:val="768237B4"/>
    <w:multiLevelType w:val="multilevel"/>
    <w:tmpl w:val="0809001D"/>
    <w:name w:val="SH1toSH6Ashurst3"/>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4" w15:restartNumberingAfterBreak="0">
    <w:nsid w:val="76FF6F28"/>
    <w:multiLevelType w:val="singleLevel"/>
    <w:tmpl w:val="14E04F3A"/>
    <w:lvl w:ilvl="0">
      <w:start w:val="1"/>
      <w:numFmt w:val="bullet"/>
      <w:pStyle w:val="BulletOCAshurst"/>
      <w:lvlText w:val=""/>
      <w:lvlJc w:val="left"/>
      <w:pPr>
        <w:tabs>
          <w:tab w:val="num" w:pos="1561"/>
        </w:tabs>
        <w:ind w:left="1561" w:hanging="709"/>
      </w:pPr>
      <w:rPr>
        <w:rFonts w:ascii="Symbol" w:hAnsi="Symbol" w:hint="default"/>
        <w:b w:val="0"/>
        <w:i w:val="0"/>
        <w:color w:val="auto"/>
        <w:sz w:val="20"/>
      </w:rPr>
    </w:lvl>
  </w:abstractNum>
  <w:abstractNum w:abstractNumId="55" w15:restartNumberingAfterBreak="0">
    <w:nsid w:val="7B792B61"/>
    <w:multiLevelType w:val="hybridMultilevel"/>
    <w:tmpl w:val="AA02C10E"/>
    <w:lvl w:ilvl="0" w:tplc="31004296">
      <w:start w:val="1"/>
      <w:numFmt w:val="decimal"/>
      <w:pStyle w:val="PartiesAshurst"/>
      <w:lvlText w:val="(%1)"/>
      <w:lvlJc w:val="left"/>
      <w:pPr>
        <w:tabs>
          <w:tab w:val="num" w:pos="782"/>
        </w:tabs>
        <w:ind w:left="782" w:hanging="782"/>
      </w:pPr>
      <w:rPr>
        <w:rFonts w:hint="default"/>
        <w:b w:val="0"/>
        <w:i w:val="0"/>
        <w:sz w:val="18"/>
        <w:szCs w:val="18"/>
      </w:rPr>
    </w:lvl>
    <w:lvl w:ilvl="1" w:tplc="E67CA23A" w:tentative="1">
      <w:start w:val="1"/>
      <w:numFmt w:val="lowerLetter"/>
      <w:lvlText w:val="%2."/>
      <w:lvlJc w:val="left"/>
      <w:pPr>
        <w:tabs>
          <w:tab w:val="num" w:pos="1440"/>
        </w:tabs>
        <w:ind w:left="1440" w:hanging="360"/>
      </w:pPr>
    </w:lvl>
    <w:lvl w:ilvl="2" w:tplc="F9D869AC" w:tentative="1">
      <w:start w:val="1"/>
      <w:numFmt w:val="lowerRoman"/>
      <w:lvlText w:val="%3."/>
      <w:lvlJc w:val="right"/>
      <w:pPr>
        <w:tabs>
          <w:tab w:val="num" w:pos="2160"/>
        </w:tabs>
        <w:ind w:left="2160" w:hanging="180"/>
      </w:pPr>
    </w:lvl>
    <w:lvl w:ilvl="3" w:tplc="74821ABA" w:tentative="1">
      <w:start w:val="1"/>
      <w:numFmt w:val="decimal"/>
      <w:lvlText w:val="%4."/>
      <w:lvlJc w:val="left"/>
      <w:pPr>
        <w:tabs>
          <w:tab w:val="num" w:pos="2880"/>
        </w:tabs>
        <w:ind w:left="2880" w:hanging="360"/>
      </w:pPr>
    </w:lvl>
    <w:lvl w:ilvl="4" w:tplc="C7E8A74C" w:tentative="1">
      <w:start w:val="1"/>
      <w:numFmt w:val="lowerLetter"/>
      <w:lvlText w:val="%5."/>
      <w:lvlJc w:val="left"/>
      <w:pPr>
        <w:tabs>
          <w:tab w:val="num" w:pos="3600"/>
        </w:tabs>
        <w:ind w:left="3600" w:hanging="360"/>
      </w:pPr>
    </w:lvl>
    <w:lvl w:ilvl="5" w:tplc="B9D4794C" w:tentative="1">
      <w:start w:val="1"/>
      <w:numFmt w:val="lowerRoman"/>
      <w:lvlText w:val="%6."/>
      <w:lvlJc w:val="right"/>
      <w:pPr>
        <w:tabs>
          <w:tab w:val="num" w:pos="4320"/>
        </w:tabs>
        <w:ind w:left="4320" w:hanging="180"/>
      </w:pPr>
    </w:lvl>
    <w:lvl w:ilvl="6" w:tplc="BA80382A" w:tentative="1">
      <w:start w:val="1"/>
      <w:numFmt w:val="decimal"/>
      <w:lvlText w:val="%7."/>
      <w:lvlJc w:val="left"/>
      <w:pPr>
        <w:tabs>
          <w:tab w:val="num" w:pos="5040"/>
        </w:tabs>
        <w:ind w:left="5040" w:hanging="360"/>
      </w:pPr>
    </w:lvl>
    <w:lvl w:ilvl="7" w:tplc="0DDAADCE" w:tentative="1">
      <w:start w:val="1"/>
      <w:numFmt w:val="lowerLetter"/>
      <w:lvlText w:val="%8."/>
      <w:lvlJc w:val="left"/>
      <w:pPr>
        <w:tabs>
          <w:tab w:val="num" w:pos="5760"/>
        </w:tabs>
        <w:ind w:left="5760" w:hanging="360"/>
      </w:pPr>
    </w:lvl>
    <w:lvl w:ilvl="8" w:tplc="248447BC" w:tentative="1">
      <w:start w:val="1"/>
      <w:numFmt w:val="lowerRoman"/>
      <w:lvlText w:val="%9."/>
      <w:lvlJc w:val="right"/>
      <w:pPr>
        <w:tabs>
          <w:tab w:val="num" w:pos="6480"/>
        </w:tabs>
        <w:ind w:left="6480" w:hanging="180"/>
      </w:pPr>
    </w:lvl>
  </w:abstractNum>
  <w:abstractNum w:abstractNumId="56" w15:restartNumberingAfterBreak="0">
    <w:nsid w:val="7BCD3DD8"/>
    <w:multiLevelType w:val="multilevel"/>
    <w:tmpl w:val="E98052C4"/>
    <w:lvl w:ilvl="0">
      <w:start w:val="1"/>
      <w:numFmt w:val="decimal"/>
      <w:pStyle w:val="AltH1Ashurst"/>
      <w:lvlText w:val="%1."/>
      <w:lvlJc w:val="left"/>
      <w:pPr>
        <w:tabs>
          <w:tab w:val="num" w:pos="782"/>
        </w:tabs>
        <w:ind w:left="782" w:hanging="782"/>
      </w:pPr>
      <w:rPr>
        <w:rFonts w:hint="default"/>
        <w:b w:val="0"/>
        <w:i w:val="0"/>
        <w:sz w:val="18"/>
      </w:rPr>
    </w:lvl>
    <w:lvl w:ilvl="1">
      <w:start w:val="1"/>
      <w:numFmt w:val="decimal"/>
      <w:pStyle w:val="AltH2Ashurst"/>
      <w:lvlText w:val="%1.%2"/>
      <w:lvlJc w:val="left"/>
      <w:pPr>
        <w:tabs>
          <w:tab w:val="num" w:pos="782"/>
        </w:tabs>
        <w:ind w:left="782" w:hanging="782"/>
      </w:pPr>
      <w:rPr>
        <w:rFonts w:hint="default"/>
        <w:b w:val="0"/>
        <w:i w:val="0"/>
        <w:sz w:val="18"/>
        <w:szCs w:val="18"/>
      </w:rPr>
    </w:lvl>
    <w:lvl w:ilvl="2">
      <w:start w:val="1"/>
      <w:numFmt w:val="lowerLetter"/>
      <w:pStyle w:val="AltH3Ashurst"/>
      <w:lvlText w:val="(%3)"/>
      <w:lvlJc w:val="left"/>
      <w:pPr>
        <w:tabs>
          <w:tab w:val="num" w:pos="1406"/>
        </w:tabs>
        <w:ind w:left="1406" w:hanging="624"/>
      </w:pPr>
      <w:rPr>
        <w:rFonts w:hint="default"/>
        <w:b w:val="0"/>
        <w:i w:val="0"/>
        <w:sz w:val="18"/>
        <w:szCs w:val="18"/>
      </w:rPr>
    </w:lvl>
    <w:lvl w:ilvl="3">
      <w:start w:val="1"/>
      <w:numFmt w:val="lowerRoman"/>
      <w:pStyle w:val="AltH4Ashurst"/>
      <w:lvlText w:val="(%4)"/>
      <w:lvlJc w:val="left"/>
      <w:pPr>
        <w:tabs>
          <w:tab w:val="num" w:pos="2030"/>
        </w:tabs>
        <w:ind w:left="2030" w:hanging="624"/>
      </w:pPr>
      <w:rPr>
        <w:rFonts w:hint="default"/>
        <w:b w:val="0"/>
        <w:i w:val="0"/>
        <w:sz w:val="18"/>
        <w:szCs w:val="18"/>
      </w:rPr>
    </w:lvl>
    <w:lvl w:ilvl="4">
      <w:start w:val="1"/>
      <w:numFmt w:val="upperLetter"/>
      <w:pStyle w:val="AltH5Ashurst"/>
      <w:lvlText w:val="(%5)"/>
      <w:lvlJc w:val="left"/>
      <w:pPr>
        <w:tabs>
          <w:tab w:val="num" w:pos="2653"/>
        </w:tabs>
        <w:ind w:left="2653" w:hanging="623"/>
      </w:pPr>
      <w:rPr>
        <w:rFonts w:hint="default"/>
        <w:b w:val="0"/>
        <w:i w:val="0"/>
        <w:sz w:val="18"/>
        <w:szCs w:val="18"/>
      </w:rPr>
    </w:lvl>
    <w:lvl w:ilvl="5">
      <w:start w:val="27"/>
      <w:numFmt w:val="lowerLetter"/>
      <w:pStyle w:val="AltH6Ashurst"/>
      <w:lvlText w:val="(%6)"/>
      <w:lvlJc w:val="left"/>
      <w:pPr>
        <w:tabs>
          <w:tab w:val="num" w:pos="3277"/>
        </w:tabs>
        <w:ind w:left="3277" w:hanging="624"/>
      </w:pPr>
      <w:rPr>
        <w:rFonts w:hint="default"/>
        <w:b w:val="0"/>
        <w:i w:val="0"/>
        <w:sz w:val="18"/>
        <w:szCs w:val="18"/>
      </w:rPr>
    </w:lvl>
    <w:lvl w:ilvl="6">
      <w:start w:val="1"/>
      <w:numFmt w:val="lowerLetter"/>
      <w:pStyle w:val="AltH7Ashurst"/>
      <w:lvlText w:val="(%7)"/>
      <w:lvlJc w:val="left"/>
      <w:pPr>
        <w:tabs>
          <w:tab w:val="num" w:pos="3901"/>
        </w:tabs>
        <w:ind w:left="3901" w:hanging="624"/>
      </w:pPr>
      <w:rPr>
        <w:rFonts w:hint="default"/>
        <w:b w:val="0"/>
        <w:i w:val="0"/>
        <w:sz w:val="18"/>
        <w:szCs w:val="18"/>
      </w:rPr>
    </w:lvl>
    <w:lvl w:ilvl="7">
      <w:start w:val="1"/>
      <w:numFmt w:val="lowerRoman"/>
      <w:pStyle w:val="AltH8Ashurst"/>
      <w:lvlText w:val="(%8)"/>
      <w:lvlJc w:val="left"/>
      <w:pPr>
        <w:tabs>
          <w:tab w:val="num" w:pos="4525"/>
        </w:tabs>
        <w:ind w:left="4525" w:hanging="624"/>
      </w:pPr>
      <w:rPr>
        <w:rFonts w:hint="default"/>
      </w:rPr>
    </w:lvl>
    <w:lvl w:ilvl="8">
      <w:start w:val="1"/>
      <w:numFmt w:val="none"/>
      <w:lvlText w:val=""/>
      <w:lvlJc w:val="left"/>
      <w:pPr>
        <w:tabs>
          <w:tab w:val="num" w:pos="0"/>
        </w:tabs>
        <w:ind w:left="0" w:firstLine="0"/>
      </w:pPr>
      <w:rPr>
        <w:rFonts w:hint="default"/>
      </w:rPr>
    </w:lvl>
  </w:abstractNum>
  <w:abstractNum w:abstractNumId="57" w15:restartNumberingAfterBreak="0">
    <w:nsid w:val="7CCA31EC"/>
    <w:multiLevelType w:val="hybridMultilevel"/>
    <w:tmpl w:val="4C3E3524"/>
    <w:lvl w:ilvl="0" w:tplc="889EA5C4">
      <w:start w:val="1"/>
      <w:numFmt w:val="bullet"/>
      <w:pStyle w:val="Bullet5Ashurst"/>
      <w:lvlText w:val=""/>
      <w:lvlJc w:val="left"/>
      <w:pPr>
        <w:tabs>
          <w:tab w:val="num" w:pos="3277"/>
        </w:tabs>
        <w:ind w:left="3277" w:hanging="623"/>
      </w:pPr>
      <w:rPr>
        <w:rFonts w:ascii="Symbol" w:hAnsi="Symbol" w:hint="default"/>
        <w:b w:val="0"/>
        <w:i w:val="0"/>
        <w:sz w:val="18"/>
        <w:szCs w:val="18"/>
      </w:rPr>
    </w:lvl>
    <w:lvl w:ilvl="1" w:tplc="BA6C63EC" w:tentative="1">
      <w:start w:val="1"/>
      <w:numFmt w:val="bullet"/>
      <w:lvlText w:val="o"/>
      <w:lvlJc w:val="left"/>
      <w:pPr>
        <w:tabs>
          <w:tab w:val="num" w:pos="1440"/>
        </w:tabs>
        <w:ind w:left="1440" w:hanging="360"/>
      </w:pPr>
      <w:rPr>
        <w:rFonts w:ascii="Courier New" w:hAnsi="Courier New" w:cs="Courier New" w:hint="default"/>
      </w:rPr>
    </w:lvl>
    <w:lvl w:ilvl="2" w:tplc="EEF852F6" w:tentative="1">
      <w:start w:val="1"/>
      <w:numFmt w:val="bullet"/>
      <w:lvlText w:val=""/>
      <w:lvlJc w:val="left"/>
      <w:pPr>
        <w:tabs>
          <w:tab w:val="num" w:pos="2160"/>
        </w:tabs>
        <w:ind w:left="2160" w:hanging="360"/>
      </w:pPr>
      <w:rPr>
        <w:rFonts w:ascii="Wingdings" w:hAnsi="Wingdings" w:hint="default"/>
      </w:rPr>
    </w:lvl>
    <w:lvl w:ilvl="3" w:tplc="1506FDFC" w:tentative="1">
      <w:start w:val="1"/>
      <w:numFmt w:val="bullet"/>
      <w:lvlText w:val=""/>
      <w:lvlJc w:val="left"/>
      <w:pPr>
        <w:tabs>
          <w:tab w:val="num" w:pos="2880"/>
        </w:tabs>
        <w:ind w:left="2880" w:hanging="360"/>
      </w:pPr>
      <w:rPr>
        <w:rFonts w:ascii="Symbol" w:hAnsi="Symbol" w:hint="default"/>
      </w:rPr>
    </w:lvl>
    <w:lvl w:ilvl="4" w:tplc="3762380A" w:tentative="1">
      <w:start w:val="1"/>
      <w:numFmt w:val="bullet"/>
      <w:lvlText w:val="o"/>
      <w:lvlJc w:val="left"/>
      <w:pPr>
        <w:tabs>
          <w:tab w:val="num" w:pos="3600"/>
        </w:tabs>
        <w:ind w:left="3600" w:hanging="360"/>
      </w:pPr>
      <w:rPr>
        <w:rFonts w:ascii="Courier New" w:hAnsi="Courier New" w:cs="Courier New" w:hint="default"/>
      </w:rPr>
    </w:lvl>
    <w:lvl w:ilvl="5" w:tplc="47842226" w:tentative="1">
      <w:start w:val="1"/>
      <w:numFmt w:val="bullet"/>
      <w:lvlText w:val=""/>
      <w:lvlJc w:val="left"/>
      <w:pPr>
        <w:tabs>
          <w:tab w:val="num" w:pos="4320"/>
        </w:tabs>
        <w:ind w:left="4320" w:hanging="360"/>
      </w:pPr>
      <w:rPr>
        <w:rFonts w:ascii="Wingdings" w:hAnsi="Wingdings" w:hint="default"/>
      </w:rPr>
    </w:lvl>
    <w:lvl w:ilvl="6" w:tplc="69F8CEEA" w:tentative="1">
      <w:start w:val="1"/>
      <w:numFmt w:val="bullet"/>
      <w:lvlText w:val=""/>
      <w:lvlJc w:val="left"/>
      <w:pPr>
        <w:tabs>
          <w:tab w:val="num" w:pos="5040"/>
        </w:tabs>
        <w:ind w:left="5040" w:hanging="360"/>
      </w:pPr>
      <w:rPr>
        <w:rFonts w:ascii="Symbol" w:hAnsi="Symbol" w:hint="default"/>
      </w:rPr>
    </w:lvl>
    <w:lvl w:ilvl="7" w:tplc="7748A240" w:tentative="1">
      <w:start w:val="1"/>
      <w:numFmt w:val="bullet"/>
      <w:lvlText w:val="o"/>
      <w:lvlJc w:val="left"/>
      <w:pPr>
        <w:tabs>
          <w:tab w:val="num" w:pos="5760"/>
        </w:tabs>
        <w:ind w:left="5760" w:hanging="360"/>
      </w:pPr>
      <w:rPr>
        <w:rFonts w:ascii="Courier New" w:hAnsi="Courier New" w:cs="Courier New" w:hint="default"/>
      </w:rPr>
    </w:lvl>
    <w:lvl w:ilvl="8" w:tplc="DF94DDE6" w:tentative="1">
      <w:start w:val="1"/>
      <w:numFmt w:val="bullet"/>
      <w:lvlText w:val=""/>
      <w:lvlJc w:val="left"/>
      <w:pPr>
        <w:tabs>
          <w:tab w:val="num" w:pos="6480"/>
        </w:tabs>
        <w:ind w:left="6480" w:hanging="360"/>
      </w:pPr>
      <w:rPr>
        <w:rFonts w:ascii="Wingdings" w:hAnsi="Wingdings" w:hint="default"/>
      </w:rPr>
    </w:lvl>
  </w:abstractNum>
  <w:num w:numId="1" w16cid:durableId="1691485808">
    <w:abstractNumId w:val="20"/>
  </w:num>
  <w:num w:numId="2" w16cid:durableId="149441941">
    <w:abstractNumId w:val="9"/>
  </w:num>
  <w:num w:numId="3" w16cid:durableId="366638315">
    <w:abstractNumId w:val="8"/>
  </w:num>
  <w:num w:numId="4" w16cid:durableId="32002260">
    <w:abstractNumId w:val="7"/>
  </w:num>
  <w:num w:numId="5" w16cid:durableId="1839150926">
    <w:abstractNumId w:val="6"/>
  </w:num>
  <w:num w:numId="6" w16cid:durableId="109052481">
    <w:abstractNumId w:val="5"/>
  </w:num>
  <w:num w:numId="7" w16cid:durableId="847982289">
    <w:abstractNumId w:val="4"/>
  </w:num>
  <w:num w:numId="8" w16cid:durableId="507133213">
    <w:abstractNumId w:val="3"/>
  </w:num>
  <w:num w:numId="9" w16cid:durableId="560019419">
    <w:abstractNumId w:val="2"/>
  </w:num>
  <w:num w:numId="10" w16cid:durableId="2118328993">
    <w:abstractNumId w:val="1"/>
  </w:num>
  <w:num w:numId="11" w16cid:durableId="1075127919">
    <w:abstractNumId w:val="0"/>
  </w:num>
  <w:num w:numId="12" w16cid:durableId="1219633349">
    <w:abstractNumId w:val="24"/>
  </w:num>
  <w:num w:numId="13" w16cid:durableId="126899731">
    <w:abstractNumId w:val="47"/>
  </w:num>
  <w:num w:numId="14" w16cid:durableId="1747413118">
    <w:abstractNumId w:val="15"/>
  </w:num>
  <w:num w:numId="15" w16cid:durableId="1256985789">
    <w:abstractNumId w:val="13"/>
  </w:num>
  <w:num w:numId="16" w16cid:durableId="795831953">
    <w:abstractNumId w:val="25"/>
  </w:num>
  <w:num w:numId="17" w16cid:durableId="2134977556">
    <w:abstractNumId w:val="34"/>
  </w:num>
  <w:num w:numId="18" w16cid:durableId="1349336006">
    <w:abstractNumId w:val="55"/>
  </w:num>
  <w:num w:numId="19" w16cid:durableId="786317279">
    <w:abstractNumId w:val="35"/>
  </w:num>
  <w:num w:numId="20" w16cid:durableId="1910840975">
    <w:abstractNumId w:val="16"/>
  </w:num>
  <w:num w:numId="21" w16cid:durableId="350843328">
    <w:abstractNumId w:val="12"/>
  </w:num>
  <w:num w:numId="22" w16cid:durableId="1495485233">
    <w:abstractNumId w:val="46"/>
  </w:num>
  <w:num w:numId="23" w16cid:durableId="359817122">
    <w:abstractNumId w:val="50"/>
  </w:num>
  <w:num w:numId="24" w16cid:durableId="572399986">
    <w:abstractNumId w:val="57"/>
  </w:num>
  <w:num w:numId="25" w16cid:durableId="1853370245">
    <w:abstractNumId w:val="40"/>
  </w:num>
  <w:num w:numId="26" w16cid:durableId="400446191">
    <w:abstractNumId w:val="10"/>
  </w:num>
  <w:num w:numId="27" w16cid:durableId="136384164">
    <w:abstractNumId w:val="43"/>
  </w:num>
  <w:num w:numId="28" w16cid:durableId="1062286480">
    <w:abstractNumId w:val="30"/>
  </w:num>
  <w:num w:numId="29" w16cid:durableId="1527333019">
    <w:abstractNumId w:val="48"/>
  </w:num>
  <w:num w:numId="30" w16cid:durableId="1934168413">
    <w:abstractNumId w:val="38"/>
  </w:num>
  <w:num w:numId="31" w16cid:durableId="1292253042">
    <w:abstractNumId w:val="56"/>
  </w:num>
  <w:num w:numId="32" w16cid:durableId="1833595360">
    <w:abstractNumId w:val="39"/>
  </w:num>
  <w:num w:numId="33" w16cid:durableId="277759277">
    <w:abstractNumId w:val="19"/>
  </w:num>
  <w:num w:numId="34" w16cid:durableId="826558374">
    <w:abstractNumId w:val="29"/>
  </w:num>
  <w:num w:numId="35" w16cid:durableId="1363090022">
    <w:abstractNumId w:val="18"/>
  </w:num>
  <w:num w:numId="36" w16cid:durableId="1574974770">
    <w:abstractNumId w:val="14"/>
  </w:num>
  <w:num w:numId="37" w16cid:durableId="1768035348">
    <w:abstractNumId w:val="37"/>
  </w:num>
  <w:num w:numId="38" w16cid:durableId="485173015">
    <w:abstractNumId w:val="54"/>
  </w:num>
  <w:num w:numId="39" w16cid:durableId="182107330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750886216">
    <w:abstractNumId w:val="27"/>
  </w:num>
  <w:num w:numId="41" w16cid:durableId="1115632659">
    <w:abstractNumId w:val="11"/>
  </w:num>
  <w:num w:numId="42" w16cid:durableId="1980837017">
    <w:abstractNumId w:val="17"/>
  </w:num>
  <w:num w:numId="43" w16cid:durableId="1858040881">
    <w:abstractNumId w:val="36"/>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attachedTemplate r:id="rId1"/>
  <w:stylePaneFormatFilter w:val="4804" w:allStyles="0" w:customStyles="0" w:latentStyles="1" w:stylesInUse="0" w:headingStyles="0" w:numberingStyles="0" w:tableStyles="0" w:directFormattingOnRuns="0" w:directFormattingOnParagraphs="0" w:directFormattingOnNumbering="0" w:directFormattingOnTables="1" w:clearFormatting="0" w:top3HeadingStyles="0" w:visibleStyles="1" w:alternateStyleNames="0"/>
  <w:revisionView w:formatting="0"/>
  <w:doNotTrackFormatting/>
  <w:defaultTabStop w:val="567"/>
  <w:drawingGridHorizontalSpacing w:val="90"/>
  <w:displayHorizontalDrawingGridEvery w:val="2"/>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ashurstDocumentData" w:val="&lt;?xml version=&quot;1.0&quot; encoding=&quot;utf-16&quot;?&gt;_x000d__x000a_&lt;ashurstDocument&gt;_x000d__x000a_  &lt;documentData&gt;_x000d__x000a_    &lt;set name=&quot;general&quot; key=&quot;general&quot;&gt;_x000d__x000a_      &lt;items&gt;_x000d__x000a_        &lt;item name=&quot;templateID&quot; value=&quot;ashWordDoc&quot; /&gt;_x000d__x000a_        &lt;item name=&quot;dataID&quot; value=&quot;&quot; /&gt;_x000d__x000a_        &lt;item name=&quot;officeID&quot; value=&quot;london&quot; /&gt;_x000d__x000a_        &lt;item name=&quot;languageID&quot; value=&quot;english-uk&quot; /&gt;_x000d__x000a_        &lt;item name=&quot;localeID&quot; value=&quot;2057&quot; /&gt;_x000d__x000a_        &lt;item name=&quot;authorID&quot; value=&quot;Author1&quot; /&gt;_x000d__x000a_        &lt;item name=&quot;day&quot; value=&quot;7&quot; /&gt;_x000d__x000a_        &lt;item name=&quot;month&quot; value=&quot;5&quot; /&gt;_x000d__x000a_        &lt;item name=&quot;year&quot; value=&quot;2021&quot; /&gt;_x000d__x000a_        &lt;item name=&quot;legacyTemplateName&quot; value=&quot;&quot; /&gt;_x000d__x000a_        &lt;item name=&quot;iwStartFolder&quot; value=&quot;&quot; /&gt;_x000d__x000a_      &lt;/items&gt;_x000d__x000a_    &lt;/set&gt;_x000d__x000a_  &lt;/documentData&gt;_x000d__x000a_&lt;/ashurstDocument&gt;"/>
  </w:docVars>
  <w:rsids>
    <w:rsidRoot w:val="004D4D38"/>
    <w:rsid w:val="00000D00"/>
    <w:rsid w:val="00001C72"/>
    <w:rsid w:val="00002D75"/>
    <w:rsid w:val="00005323"/>
    <w:rsid w:val="00006938"/>
    <w:rsid w:val="00015717"/>
    <w:rsid w:val="00023CE9"/>
    <w:rsid w:val="00034F14"/>
    <w:rsid w:val="00035180"/>
    <w:rsid w:val="000467E8"/>
    <w:rsid w:val="00047672"/>
    <w:rsid w:val="00060CE4"/>
    <w:rsid w:val="00063054"/>
    <w:rsid w:val="00070911"/>
    <w:rsid w:val="00070C0E"/>
    <w:rsid w:val="0007172A"/>
    <w:rsid w:val="00075373"/>
    <w:rsid w:val="000871B4"/>
    <w:rsid w:val="00095AC6"/>
    <w:rsid w:val="000D436B"/>
    <w:rsid w:val="000D5E00"/>
    <w:rsid w:val="000E39F3"/>
    <w:rsid w:val="000F4761"/>
    <w:rsid w:val="000F6CE1"/>
    <w:rsid w:val="0012070D"/>
    <w:rsid w:val="00123C82"/>
    <w:rsid w:val="00125818"/>
    <w:rsid w:val="00126E53"/>
    <w:rsid w:val="00126FF0"/>
    <w:rsid w:val="00135E57"/>
    <w:rsid w:val="001559AE"/>
    <w:rsid w:val="001715BF"/>
    <w:rsid w:val="001744E6"/>
    <w:rsid w:val="00177387"/>
    <w:rsid w:val="001846F7"/>
    <w:rsid w:val="00185C65"/>
    <w:rsid w:val="0019234D"/>
    <w:rsid w:val="001957AF"/>
    <w:rsid w:val="001964CE"/>
    <w:rsid w:val="00196A91"/>
    <w:rsid w:val="001B15E8"/>
    <w:rsid w:val="001B21A7"/>
    <w:rsid w:val="001B28CD"/>
    <w:rsid w:val="001B4DDE"/>
    <w:rsid w:val="001C5A42"/>
    <w:rsid w:val="001D03C3"/>
    <w:rsid w:val="001D2322"/>
    <w:rsid w:val="001D66F1"/>
    <w:rsid w:val="001D6A8F"/>
    <w:rsid w:val="001E0656"/>
    <w:rsid w:val="001E538F"/>
    <w:rsid w:val="001F32C7"/>
    <w:rsid w:val="002063D0"/>
    <w:rsid w:val="00213531"/>
    <w:rsid w:val="0021527A"/>
    <w:rsid w:val="0022250A"/>
    <w:rsid w:val="0022294C"/>
    <w:rsid w:val="00232ED9"/>
    <w:rsid w:val="00237DA1"/>
    <w:rsid w:val="002410B2"/>
    <w:rsid w:val="00243DC4"/>
    <w:rsid w:val="0025223E"/>
    <w:rsid w:val="00252E27"/>
    <w:rsid w:val="002668D1"/>
    <w:rsid w:val="0026699F"/>
    <w:rsid w:val="0027716B"/>
    <w:rsid w:val="0028206C"/>
    <w:rsid w:val="00284F84"/>
    <w:rsid w:val="002967DD"/>
    <w:rsid w:val="00297028"/>
    <w:rsid w:val="00297169"/>
    <w:rsid w:val="002A684B"/>
    <w:rsid w:val="002C5711"/>
    <w:rsid w:val="002D7602"/>
    <w:rsid w:val="002E091C"/>
    <w:rsid w:val="00305E01"/>
    <w:rsid w:val="00331F45"/>
    <w:rsid w:val="00337993"/>
    <w:rsid w:val="0035647D"/>
    <w:rsid w:val="0038625B"/>
    <w:rsid w:val="003879AC"/>
    <w:rsid w:val="003B1507"/>
    <w:rsid w:val="003C1FD1"/>
    <w:rsid w:val="003F1726"/>
    <w:rsid w:val="00402E3A"/>
    <w:rsid w:val="00404780"/>
    <w:rsid w:val="00414900"/>
    <w:rsid w:val="00415B69"/>
    <w:rsid w:val="00427B0B"/>
    <w:rsid w:val="004330E4"/>
    <w:rsid w:val="00433637"/>
    <w:rsid w:val="004423E5"/>
    <w:rsid w:val="0044680A"/>
    <w:rsid w:val="00446A24"/>
    <w:rsid w:val="0045051B"/>
    <w:rsid w:val="00451469"/>
    <w:rsid w:val="0045242F"/>
    <w:rsid w:val="00471E6B"/>
    <w:rsid w:val="004767D9"/>
    <w:rsid w:val="00494D8C"/>
    <w:rsid w:val="004A2016"/>
    <w:rsid w:val="004A6CBA"/>
    <w:rsid w:val="004C4862"/>
    <w:rsid w:val="004D4D38"/>
    <w:rsid w:val="004D6B3A"/>
    <w:rsid w:val="004E0AC6"/>
    <w:rsid w:val="004E546A"/>
    <w:rsid w:val="004E59BF"/>
    <w:rsid w:val="004F15EE"/>
    <w:rsid w:val="00507236"/>
    <w:rsid w:val="005213E8"/>
    <w:rsid w:val="005229BE"/>
    <w:rsid w:val="0052627E"/>
    <w:rsid w:val="00533748"/>
    <w:rsid w:val="00537645"/>
    <w:rsid w:val="00555529"/>
    <w:rsid w:val="00566162"/>
    <w:rsid w:val="005750C5"/>
    <w:rsid w:val="005816A0"/>
    <w:rsid w:val="00587D55"/>
    <w:rsid w:val="0059068C"/>
    <w:rsid w:val="005A3536"/>
    <w:rsid w:val="005A4C3B"/>
    <w:rsid w:val="005A6660"/>
    <w:rsid w:val="005A7CEA"/>
    <w:rsid w:val="005B3787"/>
    <w:rsid w:val="005C4E33"/>
    <w:rsid w:val="005C70BC"/>
    <w:rsid w:val="005D04F4"/>
    <w:rsid w:val="005D4A71"/>
    <w:rsid w:val="005D701B"/>
    <w:rsid w:val="005E3176"/>
    <w:rsid w:val="005E44EB"/>
    <w:rsid w:val="005E5744"/>
    <w:rsid w:val="005F122A"/>
    <w:rsid w:val="005F12C5"/>
    <w:rsid w:val="005F4E23"/>
    <w:rsid w:val="005F6282"/>
    <w:rsid w:val="005F6648"/>
    <w:rsid w:val="00603A9E"/>
    <w:rsid w:val="00606F84"/>
    <w:rsid w:val="006116D1"/>
    <w:rsid w:val="00624410"/>
    <w:rsid w:val="00625C91"/>
    <w:rsid w:val="00634374"/>
    <w:rsid w:val="006409DF"/>
    <w:rsid w:val="00645A48"/>
    <w:rsid w:val="00665440"/>
    <w:rsid w:val="00665FB0"/>
    <w:rsid w:val="00671ADE"/>
    <w:rsid w:val="006770F0"/>
    <w:rsid w:val="00687D10"/>
    <w:rsid w:val="00694E22"/>
    <w:rsid w:val="00696E5E"/>
    <w:rsid w:val="00697756"/>
    <w:rsid w:val="006A2677"/>
    <w:rsid w:val="006B59B3"/>
    <w:rsid w:val="006B7768"/>
    <w:rsid w:val="006C5606"/>
    <w:rsid w:val="006C6380"/>
    <w:rsid w:val="006D29C5"/>
    <w:rsid w:val="006D2FD3"/>
    <w:rsid w:val="006F7E4E"/>
    <w:rsid w:val="007131BA"/>
    <w:rsid w:val="00724E8C"/>
    <w:rsid w:val="00730118"/>
    <w:rsid w:val="0073394C"/>
    <w:rsid w:val="00736970"/>
    <w:rsid w:val="00737DB2"/>
    <w:rsid w:val="0076470E"/>
    <w:rsid w:val="00764755"/>
    <w:rsid w:val="00766F39"/>
    <w:rsid w:val="00772C30"/>
    <w:rsid w:val="00774F02"/>
    <w:rsid w:val="00784566"/>
    <w:rsid w:val="00792DFA"/>
    <w:rsid w:val="00794AB3"/>
    <w:rsid w:val="007A4167"/>
    <w:rsid w:val="007C093C"/>
    <w:rsid w:val="007C0B2B"/>
    <w:rsid w:val="007C3CBF"/>
    <w:rsid w:val="007D003A"/>
    <w:rsid w:val="007D4BAB"/>
    <w:rsid w:val="007D6218"/>
    <w:rsid w:val="007E314E"/>
    <w:rsid w:val="007E3199"/>
    <w:rsid w:val="007F6F49"/>
    <w:rsid w:val="00804781"/>
    <w:rsid w:val="0080761D"/>
    <w:rsid w:val="008323D0"/>
    <w:rsid w:val="00833787"/>
    <w:rsid w:val="0083502D"/>
    <w:rsid w:val="00835CD8"/>
    <w:rsid w:val="00842E74"/>
    <w:rsid w:val="00846D04"/>
    <w:rsid w:val="00853E6C"/>
    <w:rsid w:val="00854047"/>
    <w:rsid w:val="00871DE2"/>
    <w:rsid w:val="008A6398"/>
    <w:rsid w:val="008B0951"/>
    <w:rsid w:val="008B2A02"/>
    <w:rsid w:val="008C4ECF"/>
    <w:rsid w:val="008E3015"/>
    <w:rsid w:val="008E59FC"/>
    <w:rsid w:val="008E7183"/>
    <w:rsid w:val="008F0ECA"/>
    <w:rsid w:val="008F31CD"/>
    <w:rsid w:val="008F43C0"/>
    <w:rsid w:val="008F7826"/>
    <w:rsid w:val="00902962"/>
    <w:rsid w:val="00910838"/>
    <w:rsid w:val="009137F5"/>
    <w:rsid w:val="0092108E"/>
    <w:rsid w:val="00921D13"/>
    <w:rsid w:val="00922AE8"/>
    <w:rsid w:val="0092787D"/>
    <w:rsid w:val="00931EFD"/>
    <w:rsid w:val="009375DF"/>
    <w:rsid w:val="00940388"/>
    <w:rsid w:val="009479A1"/>
    <w:rsid w:val="00947F03"/>
    <w:rsid w:val="009527F8"/>
    <w:rsid w:val="00953D93"/>
    <w:rsid w:val="00970571"/>
    <w:rsid w:val="00971687"/>
    <w:rsid w:val="00973444"/>
    <w:rsid w:val="009746A4"/>
    <w:rsid w:val="009771B5"/>
    <w:rsid w:val="00980966"/>
    <w:rsid w:val="009825E1"/>
    <w:rsid w:val="0099283B"/>
    <w:rsid w:val="009B43D6"/>
    <w:rsid w:val="009B5769"/>
    <w:rsid w:val="009C1A29"/>
    <w:rsid w:val="009D06FC"/>
    <w:rsid w:val="009D12AA"/>
    <w:rsid w:val="009D70FA"/>
    <w:rsid w:val="009F2F58"/>
    <w:rsid w:val="00A10D6F"/>
    <w:rsid w:val="00A16450"/>
    <w:rsid w:val="00A220EC"/>
    <w:rsid w:val="00A30825"/>
    <w:rsid w:val="00A30940"/>
    <w:rsid w:val="00A35F4D"/>
    <w:rsid w:val="00A37837"/>
    <w:rsid w:val="00A37D9F"/>
    <w:rsid w:val="00A37ED1"/>
    <w:rsid w:val="00A54592"/>
    <w:rsid w:val="00A54EBF"/>
    <w:rsid w:val="00A6003C"/>
    <w:rsid w:val="00A6170E"/>
    <w:rsid w:val="00A6202C"/>
    <w:rsid w:val="00A633D7"/>
    <w:rsid w:val="00A64538"/>
    <w:rsid w:val="00A71632"/>
    <w:rsid w:val="00A75CD5"/>
    <w:rsid w:val="00A80FC7"/>
    <w:rsid w:val="00A83799"/>
    <w:rsid w:val="00A852DF"/>
    <w:rsid w:val="00A85DA5"/>
    <w:rsid w:val="00A94C04"/>
    <w:rsid w:val="00AB4AA2"/>
    <w:rsid w:val="00AC0E4D"/>
    <w:rsid w:val="00AE48C8"/>
    <w:rsid w:val="00B110CF"/>
    <w:rsid w:val="00B11548"/>
    <w:rsid w:val="00B26DCD"/>
    <w:rsid w:val="00B3385F"/>
    <w:rsid w:val="00B344F6"/>
    <w:rsid w:val="00B45453"/>
    <w:rsid w:val="00B527DC"/>
    <w:rsid w:val="00B52CDD"/>
    <w:rsid w:val="00B713C1"/>
    <w:rsid w:val="00B8657B"/>
    <w:rsid w:val="00B9531D"/>
    <w:rsid w:val="00B96C9F"/>
    <w:rsid w:val="00BA7EC6"/>
    <w:rsid w:val="00BB2E5D"/>
    <w:rsid w:val="00BC417C"/>
    <w:rsid w:val="00BD482E"/>
    <w:rsid w:val="00BD6159"/>
    <w:rsid w:val="00BE0DAE"/>
    <w:rsid w:val="00BF0212"/>
    <w:rsid w:val="00C22A20"/>
    <w:rsid w:val="00C30107"/>
    <w:rsid w:val="00C35530"/>
    <w:rsid w:val="00C4575D"/>
    <w:rsid w:val="00C457FE"/>
    <w:rsid w:val="00C515B4"/>
    <w:rsid w:val="00C56E27"/>
    <w:rsid w:val="00C670D7"/>
    <w:rsid w:val="00C8336F"/>
    <w:rsid w:val="00C8716F"/>
    <w:rsid w:val="00C92A4B"/>
    <w:rsid w:val="00C939D9"/>
    <w:rsid w:val="00C97E08"/>
    <w:rsid w:val="00CA2C4A"/>
    <w:rsid w:val="00CA64A0"/>
    <w:rsid w:val="00CB0316"/>
    <w:rsid w:val="00CB38D6"/>
    <w:rsid w:val="00CC667F"/>
    <w:rsid w:val="00CE2479"/>
    <w:rsid w:val="00CF0FBA"/>
    <w:rsid w:val="00CF363F"/>
    <w:rsid w:val="00CF703F"/>
    <w:rsid w:val="00D11DC5"/>
    <w:rsid w:val="00D212AA"/>
    <w:rsid w:val="00D278F1"/>
    <w:rsid w:val="00D27F12"/>
    <w:rsid w:val="00D52833"/>
    <w:rsid w:val="00D54043"/>
    <w:rsid w:val="00D565FB"/>
    <w:rsid w:val="00D615B2"/>
    <w:rsid w:val="00D630E7"/>
    <w:rsid w:val="00D918BA"/>
    <w:rsid w:val="00DA5F4A"/>
    <w:rsid w:val="00DC1D6E"/>
    <w:rsid w:val="00DD2E11"/>
    <w:rsid w:val="00DD776E"/>
    <w:rsid w:val="00DE0BDA"/>
    <w:rsid w:val="00DE6647"/>
    <w:rsid w:val="00DF6617"/>
    <w:rsid w:val="00DF7C7E"/>
    <w:rsid w:val="00E03305"/>
    <w:rsid w:val="00E05921"/>
    <w:rsid w:val="00E07CC9"/>
    <w:rsid w:val="00E17612"/>
    <w:rsid w:val="00E2159F"/>
    <w:rsid w:val="00E23414"/>
    <w:rsid w:val="00E23E5B"/>
    <w:rsid w:val="00E25AC1"/>
    <w:rsid w:val="00E275A5"/>
    <w:rsid w:val="00E37647"/>
    <w:rsid w:val="00E41381"/>
    <w:rsid w:val="00E4741E"/>
    <w:rsid w:val="00E74776"/>
    <w:rsid w:val="00E8719D"/>
    <w:rsid w:val="00EA0A1A"/>
    <w:rsid w:val="00EA4F70"/>
    <w:rsid w:val="00EA597A"/>
    <w:rsid w:val="00EB631F"/>
    <w:rsid w:val="00EB665F"/>
    <w:rsid w:val="00EB7923"/>
    <w:rsid w:val="00EC0C76"/>
    <w:rsid w:val="00EC1F9E"/>
    <w:rsid w:val="00EC397E"/>
    <w:rsid w:val="00EC3A36"/>
    <w:rsid w:val="00EC3EF3"/>
    <w:rsid w:val="00ED037D"/>
    <w:rsid w:val="00ED1699"/>
    <w:rsid w:val="00ED4B71"/>
    <w:rsid w:val="00ED7498"/>
    <w:rsid w:val="00ED74B8"/>
    <w:rsid w:val="00EF0391"/>
    <w:rsid w:val="00EF328B"/>
    <w:rsid w:val="00EF5352"/>
    <w:rsid w:val="00EF67F9"/>
    <w:rsid w:val="00F107BB"/>
    <w:rsid w:val="00F116E5"/>
    <w:rsid w:val="00F13F6A"/>
    <w:rsid w:val="00F155B5"/>
    <w:rsid w:val="00F218F0"/>
    <w:rsid w:val="00F25F8F"/>
    <w:rsid w:val="00F310E6"/>
    <w:rsid w:val="00F43782"/>
    <w:rsid w:val="00F449C7"/>
    <w:rsid w:val="00F504BE"/>
    <w:rsid w:val="00F51566"/>
    <w:rsid w:val="00F5419A"/>
    <w:rsid w:val="00F74B24"/>
    <w:rsid w:val="00F75940"/>
    <w:rsid w:val="00F77455"/>
    <w:rsid w:val="00F82393"/>
    <w:rsid w:val="00F848EF"/>
    <w:rsid w:val="00F85654"/>
    <w:rsid w:val="00F95FD0"/>
    <w:rsid w:val="00FA458E"/>
    <w:rsid w:val="00FA6539"/>
    <w:rsid w:val="00FC1067"/>
    <w:rsid w:val="00FD5AB9"/>
    <w:rsid w:val="00FD63B9"/>
    <w:rsid w:val="00FE7544"/>
    <w:rsid w:val="00FE7C2F"/>
    <w:rsid w:val="00FF3F21"/>
    <w:rsid w:val="00FF45EB"/>
  </w:rsids>
  <m:mathPr>
    <m:mathFont m:val="Cambria Math"/>
    <m:brkBin m:val="before"/>
    <m:brkBinSub m:val="--"/>
    <m:smallFrac m:val="0"/>
    <m:dispDef/>
    <m:lMargin m:val="0"/>
    <m:rMargin m:val="0"/>
    <m:defJc m:val="centerGroup"/>
    <m:wrapIndent m:val="1440"/>
    <m:intLim m:val="subSup"/>
    <m:naryLim m:val="undOvr"/>
  </m:mathPr>
  <w:themeFontLang w:val="en-GB" w:eastAsia="zh-TW"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B97593B"/>
  <w15:docId w15:val="{DB878481-2B47-4C8B-98EE-E08FA15470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18"/>
        <w:szCs w:val="24"/>
        <w:lang w:val="en-GB" w:eastAsia="zh-TW" w:bidi="ar-SA"/>
      </w:rPr>
    </w:rPrDefault>
    <w:pPrDefault/>
  </w:docDefaults>
  <w:latentStyles w:defLockedState="0" w:defUIPriority="98" w:defSemiHidden="0" w:defUnhideWhenUsed="0" w:defQFormat="0" w:count="376">
    <w:lsdException w:name="Normal" w:qFormat="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iPriority="0" w:unhideWhenUsed="1"/>
    <w:lsdException w:name="HTML Bottom of Form" w:semiHidden="1" w:uiPriority="0"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uiPriority="0"/>
    <w:lsdException w:name="List Paragraph"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atentStyles>
  <w:style w:type="paragraph" w:default="1" w:styleId="Normal">
    <w:name w:val="Normal"/>
    <w:qFormat/>
    <w:rsid w:val="007131BA"/>
    <w:pPr>
      <w:spacing w:line="264" w:lineRule="auto"/>
      <w:jc w:val="both"/>
    </w:pPr>
    <w:rPr>
      <w:rFonts w:ascii="Verdana" w:eastAsia="Times New Roman" w:hAnsi="Verdana" w:cs="Times New Roman"/>
      <w:szCs w:val="18"/>
      <w:lang w:eastAsia="en-GB"/>
    </w:rPr>
  </w:style>
  <w:style w:type="paragraph" w:styleId="Heading1">
    <w:name w:val="heading 1"/>
    <w:basedOn w:val="NormalAshurst"/>
    <w:uiPriority w:val="98"/>
    <w:semiHidden/>
    <w:rsid w:val="00B12EF5"/>
    <w:pPr>
      <w:numPr>
        <w:numId w:val="1"/>
      </w:numPr>
      <w:outlineLvl w:val="0"/>
    </w:pPr>
    <w:rPr>
      <w:bCs/>
      <w:kern w:val="32"/>
    </w:rPr>
  </w:style>
  <w:style w:type="paragraph" w:styleId="Heading2">
    <w:name w:val="heading 2"/>
    <w:basedOn w:val="NormalAshurst"/>
    <w:uiPriority w:val="98"/>
    <w:semiHidden/>
    <w:rsid w:val="00B12EF5"/>
    <w:pPr>
      <w:numPr>
        <w:ilvl w:val="1"/>
        <w:numId w:val="1"/>
      </w:numPr>
      <w:outlineLvl w:val="1"/>
    </w:pPr>
    <w:rPr>
      <w:bCs/>
      <w:iCs/>
    </w:rPr>
  </w:style>
  <w:style w:type="paragraph" w:styleId="Heading3">
    <w:name w:val="heading 3"/>
    <w:basedOn w:val="NormalAshurst"/>
    <w:uiPriority w:val="98"/>
    <w:semiHidden/>
    <w:rsid w:val="00B12EF5"/>
    <w:pPr>
      <w:numPr>
        <w:ilvl w:val="2"/>
        <w:numId w:val="1"/>
      </w:numPr>
      <w:outlineLvl w:val="2"/>
    </w:pPr>
    <w:rPr>
      <w:bCs/>
    </w:rPr>
  </w:style>
  <w:style w:type="paragraph" w:styleId="Heading4">
    <w:name w:val="heading 4"/>
    <w:basedOn w:val="NormalAshurst"/>
    <w:uiPriority w:val="98"/>
    <w:semiHidden/>
    <w:rsid w:val="00B12EF5"/>
    <w:pPr>
      <w:numPr>
        <w:ilvl w:val="3"/>
        <w:numId w:val="1"/>
      </w:numPr>
      <w:outlineLvl w:val="3"/>
    </w:pPr>
    <w:rPr>
      <w:bCs/>
    </w:rPr>
  </w:style>
  <w:style w:type="paragraph" w:styleId="Heading5">
    <w:name w:val="heading 5"/>
    <w:basedOn w:val="NormalAshurst"/>
    <w:uiPriority w:val="98"/>
    <w:semiHidden/>
    <w:rsid w:val="00B12EF5"/>
    <w:pPr>
      <w:numPr>
        <w:ilvl w:val="4"/>
        <w:numId w:val="1"/>
      </w:numPr>
      <w:outlineLvl w:val="4"/>
    </w:pPr>
    <w:rPr>
      <w:bCs/>
      <w:iCs/>
    </w:rPr>
  </w:style>
  <w:style w:type="paragraph" w:styleId="Heading6">
    <w:name w:val="heading 6"/>
    <w:basedOn w:val="NormalAshurst"/>
    <w:uiPriority w:val="98"/>
    <w:semiHidden/>
    <w:rsid w:val="00B12EF5"/>
    <w:pPr>
      <w:numPr>
        <w:ilvl w:val="5"/>
        <w:numId w:val="1"/>
      </w:numPr>
      <w:outlineLvl w:val="5"/>
    </w:pPr>
    <w:rPr>
      <w:bCs/>
    </w:rPr>
  </w:style>
  <w:style w:type="paragraph" w:styleId="Heading7">
    <w:name w:val="heading 7"/>
    <w:basedOn w:val="NormalAshurst"/>
    <w:uiPriority w:val="98"/>
    <w:semiHidden/>
    <w:rsid w:val="00B12EF5"/>
    <w:pPr>
      <w:numPr>
        <w:ilvl w:val="6"/>
        <w:numId w:val="1"/>
      </w:numPr>
      <w:outlineLvl w:val="6"/>
    </w:pPr>
  </w:style>
  <w:style w:type="paragraph" w:styleId="Heading8">
    <w:name w:val="heading 8"/>
    <w:basedOn w:val="NormalAshurst"/>
    <w:uiPriority w:val="98"/>
    <w:semiHidden/>
    <w:rsid w:val="00B12EF5"/>
    <w:pPr>
      <w:numPr>
        <w:ilvl w:val="7"/>
        <w:numId w:val="1"/>
      </w:numPr>
      <w:outlineLvl w:val="7"/>
    </w:pPr>
    <w:rPr>
      <w:iCs/>
    </w:rPr>
  </w:style>
  <w:style w:type="paragraph" w:styleId="Heading9">
    <w:name w:val="heading 9"/>
    <w:basedOn w:val="NormalAshurst"/>
    <w:uiPriority w:val="98"/>
    <w:semiHidden/>
    <w:rsid w:val="00B12EF5"/>
    <w:pPr>
      <w:numPr>
        <w:ilvl w:val="8"/>
        <w:numId w:val="1"/>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Ashurst">
    <w:name w:val="NormalAshurst"/>
    <w:link w:val="NormalAshurstChar"/>
    <w:qFormat/>
    <w:rsid w:val="00B12EF5"/>
    <w:pPr>
      <w:suppressAutoHyphens/>
      <w:spacing w:after="220" w:line="264" w:lineRule="auto"/>
      <w:jc w:val="both"/>
    </w:pPr>
  </w:style>
  <w:style w:type="paragraph" w:customStyle="1" w:styleId="StandardAshurst">
    <w:name w:val="StandardAshurst"/>
    <w:basedOn w:val="NormalAshurst"/>
    <w:link w:val="StandardAshurstChar"/>
    <w:qFormat/>
    <w:rsid w:val="00B12EF5"/>
    <w:pPr>
      <w:spacing w:after="0"/>
    </w:pPr>
  </w:style>
  <w:style w:type="paragraph" w:styleId="Index1">
    <w:name w:val="index 1"/>
    <w:basedOn w:val="Normal"/>
    <w:next w:val="Normal"/>
    <w:uiPriority w:val="98"/>
    <w:semiHidden/>
    <w:rsid w:val="00B12EF5"/>
    <w:pPr>
      <w:spacing w:line="240" w:lineRule="auto"/>
      <w:ind w:left="180" w:hanging="180"/>
    </w:pPr>
  </w:style>
  <w:style w:type="paragraph" w:customStyle="1" w:styleId="B3Ashurst">
    <w:name w:val="B3Ashurst"/>
    <w:basedOn w:val="NormalAshurst"/>
    <w:uiPriority w:val="2"/>
    <w:qFormat/>
    <w:rsid w:val="00B12EF5"/>
    <w:pPr>
      <w:tabs>
        <w:tab w:val="left" w:pos="2030"/>
        <w:tab w:val="left" w:pos="2654"/>
        <w:tab w:val="left" w:pos="3277"/>
        <w:tab w:val="left" w:pos="3901"/>
      </w:tabs>
      <w:ind w:left="1406"/>
    </w:pPr>
  </w:style>
  <w:style w:type="paragraph" w:customStyle="1" w:styleId="BAshurst">
    <w:name w:val="BAshurst"/>
    <w:basedOn w:val="NormalAshurst"/>
    <w:uiPriority w:val="79"/>
    <w:rsid w:val="00B12EF5"/>
    <w:pPr>
      <w:tabs>
        <w:tab w:val="left" w:pos="782"/>
        <w:tab w:val="left" w:pos="1406"/>
        <w:tab w:val="left" w:pos="2030"/>
        <w:tab w:val="left" w:pos="2654"/>
        <w:tab w:val="left" w:pos="3277"/>
        <w:tab w:val="left" w:pos="3901"/>
      </w:tabs>
    </w:pPr>
  </w:style>
  <w:style w:type="paragraph" w:customStyle="1" w:styleId="B4Ashurst">
    <w:name w:val="B4Ashurst"/>
    <w:basedOn w:val="NormalAshurst"/>
    <w:uiPriority w:val="56"/>
    <w:rsid w:val="00B12EF5"/>
    <w:pPr>
      <w:tabs>
        <w:tab w:val="left" w:pos="2654"/>
        <w:tab w:val="left" w:pos="3277"/>
        <w:tab w:val="left" w:pos="3901"/>
      </w:tabs>
      <w:ind w:left="2030"/>
    </w:pPr>
  </w:style>
  <w:style w:type="paragraph" w:customStyle="1" w:styleId="B5Ashurst">
    <w:name w:val="B5Ashurst"/>
    <w:basedOn w:val="NormalAshurst"/>
    <w:uiPriority w:val="56"/>
    <w:rsid w:val="00B12EF5"/>
    <w:pPr>
      <w:tabs>
        <w:tab w:val="left" w:pos="3277"/>
        <w:tab w:val="left" w:pos="3901"/>
      </w:tabs>
      <w:ind w:left="2654"/>
    </w:pPr>
  </w:style>
  <w:style w:type="paragraph" w:customStyle="1" w:styleId="B6Ashurst">
    <w:name w:val="B6Ashurst"/>
    <w:basedOn w:val="NormalAshurst"/>
    <w:uiPriority w:val="56"/>
    <w:rsid w:val="00B12EF5"/>
    <w:pPr>
      <w:tabs>
        <w:tab w:val="left" w:pos="3901"/>
      </w:tabs>
      <w:ind w:left="3277"/>
    </w:pPr>
  </w:style>
  <w:style w:type="paragraph" w:customStyle="1" w:styleId="CBOLDCAPSAshurst">
    <w:name w:val="CBOLDCAPSAshurst"/>
    <w:basedOn w:val="NormalAshurst"/>
    <w:uiPriority w:val="60"/>
    <w:rsid w:val="00B12EF5"/>
    <w:pPr>
      <w:keepNext/>
      <w:jc w:val="center"/>
    </w:pPr>
    <w:rPr>
      <w:b/>
      <w:caps/>
    </w:rPr>
  </w:style>
  <w:style w:type="paragraph" w:customStyle="1" w:styleId="EndnoteMore">
    <w:name w:val="Endnote More"/>
    <w:basedOn w:val="FootnoteMore"/>
    <w:uiPriority w:val="79"/>
    <w:rsid w:val="00B12EF5"/>
  </w:style>
  <w:style w:type="paragraph" w:customStyle="1" w:styleId="LBOLDCAPSAshurst">
    <w:name w:val="LBOLDCAPSAshurst"/>
    <w:basedOn w:val="NormalAshurst"/>
    <w:uiPriority w:val="60"/>
    <w:rsid w:val="00B12EF5"/>
    <w:pPr>
      <w:keepNext/>
      <w:jc w:val="left"/>
    </w:pPr>
    <w:rPr>
      <w:b/>
      <w:caps/>
    </w:rPr>
  </w:style>
  <w:style w:type="paragraph" w:customStyle="1" w:styleId="RBOLDCAPSAshurst">
    <w:name w:val="RBOLDCAPSAshurst"/>
    <w:basedOn w:val="NormalAshurst"/>
    <w:uiPriority w:val="60"/>
    <w:rsid w:val="00B12EF5"/>
    <w:pPr>
      <w:keepNext/>
      <w:jc w:val="right"/>
    </w:pPr>
    <w:rPr>
      <w:b/>
      <w:caps/>
    </w:rPr>
  </w:style>
  <w:style w:type="paragraph" w:customStyle="1" w:styleId="SCHEDULEAshurst">
    <w:name w:val="SCHEDULEAshurst"/>
    <w:basedOn w:val="NormalAshurst"/>
    <w:next w:val="SchSubAshurst"/>
    <w:uiPriority w:val="79"/>
    <w:rsid w:val="00B12EF5"/>
    <w:pPr>
      <w:keepNext/>
      <w:numPr>
        <w:numId w:val="15"/>
      </w:numPr>
      <w:jc w:val="center"/>
      <w:outlineLvl w:val="0"/>
    </w:pPr>
    <w:rPr>
      <w:b/>
      <w:caps/>
    </w:rPr>
  </w:style>
  <w:style w:type="paragraph" w:customStyle="1" w:styleId="SchSubAshurst">
    <w:name w:val="SchSubAshurst"/>
    <w:basedOn w:val="NormalAshurst"/>
    <w:next w:val="NormalAshurst"/>
    <w:uiPriority w:val="42"/>
    <w:rsid w:val="00B12EF5"/>
    <w:pPr>
      <w:keepNext/>
      <w:jc w:val="center"/>
      <w:outlineLvl w:val="1"/>
    </w:pPr>
    <w:rPr>
      <w:b/>
    </w:rPr>
  </w:style>
  <w:style w:type="paragraph" w:customStyle="1" w:styleId="H1Ashurst">
    <w:name w:val="H1Ashurst"/>
    <w:basedOn w:val="NormalAshurst"/>
    <w:next w:val="H2Ashurst"/>
    <w:uiPriority w:val="1"/>
    <w:qFormat/>
    <w:rsid w:val="00B12EF5"/>
    <w:pPr>
      <w:keepNext/>
      <w:numPr>
        <w:numId w:val="32"/>
      </w:numPr>
      <w:outlineLvl w:val="0"/>
    </w:pPr>
    <w:rPr>
      <w:b/>
      <w:caps/>
    </w:rPr>
  </w:style>
  <w:style w:type="paragraph" w:customStyle="1" w:styleId="H2Ashurst">
    <w:name w:val="H2Ashurst"/>
    <w:basedOn w:val="NormalAshurst"/>
    <w:uiPriority w:val="1"/>
    <w:qFormat/>
    <w:rsid w:val="00B12EF5"/>
    <w:pPr>
      <w:numPr>
        <w:ilvl w:val="1"/>
        <w:numId w:val="32"/>
      </w:numPr>
      <w:outlineLvl w:val="1"/>
    </w:pPr>
  </w:style>
  <w:style w:type="paragraph" w:customStyle="1" w:styleId="H3Ashurst">
    <w:name w:val="H3Ashurst"/>
    <w:basedOn w:val="NormalAshurst"/>
    <w:link w:val="H3AshurstChar"/>
    <w:uiPriority w:val="1"/>
    <w:qFormat/>
    <w:rsid w:val="00B12EF5"/>
    <w:pPr>
      <w:numPr>
        <w:ilvl w:val="2"/>
        <w:numId w:val="32"/>
      </w:numPr>
      <w:tabs>
        <w:tab w:val="clear" w:pos="1191"/>
        <w:tab w:val="num" w:pos="1406"/>
      </w:tabs>
      <w:ind w:left="1406"/>
      <w:outlineLvl w:val="2"/>
    </w:pPr>
  </w:style>
  <w:style w:type="paragraph" w:customStyle="1" w:styleId="H4Ashurst">
    <w:name w:val="H4Ashurst"/>
    <w:basedOn w:val="NormalAshurst"/>
    <w:uiPriority w:val="1"/>
    <w:qFormat/>
    <w:rsid w:val="00B12EF5"/>
    <w:pPr>
      <w:numPr>
        <w:ilvl w:val="3"/>
        <w:numId w:val="32"/>
      </w:numPr>
      <w:outlineLvl w:val="3"/>
    </w:pPr>
  </w:style>
  <w:style w:type="paragraph" w:customStyle="1" w:styleId="H5Ashurst">
    <w:name w:val="H5Ashurst"/>
    <w:basedOn w:val="NormalAshurst"/>
    <w:uiPriority w:val="1"/>
    <w:qFormat/>
    <w:rsid w:val="00B12EF5"/>
    <w:pPr>
      <w:numPr>
        <w:ilvl w:val="4"/>
        <w:numId w:val="32"/>
      </w:numPr>
      <w:outlineLvl w:val="4"/>
    </w:pPr>
  </w:style>
  <w:style w:type="paragraph" w:customStyle="1" w:styleId="H6Ashurst">
    <w:name w:val="H6Ashurst"/>
    <w:basedOn w:val="NormalAshurst"/>
    <w:uiPriority w:val="38"/>
    <w:rsid w:val="00B12EF5"/>
    <w:pPr>
      <w:numPr>
        <w:ilvl w:val="5"/>
        <w:numId w:val="32"/>
      </w:numPr>
      <w:outlineLvl w:val="5"/>
    </w:pPr>
  </w:style>
  <w:style w:type="paragraph" w:customStyle="1" w:styleId="SH1Ashurst">
    <w:name w:val="SH1Ashurst"/>
    <w:basedOn w:val="NormalAshurst"/>
    <w:next w:val="SH2Ashurst"/>
    <w:uiPriority w:val="15"/>
    <w:rsid w:val="00B12EF5"/>
    <w:pPr>
      <w:keepNext/>
      <w:numPr>
        <w:numId w:val="16"/>
      </w:numPr>
      <w:outlineLvl w:val="0"/>
    </w:pPr>
    <w:rPr>
      <w:b/>
      <w:caps/>
    </w:rPr>
  </w:style>
  <w:style w:type="paragraph" w:customStyle="1" w:styleId="SH2Ashurst">
    <w:name w:val="SH2Ashurst"/>
    <w:basedOn w:val="NormalAshurst"/>
    <w:uiPriority w:val="15"/>
    <w:rsid w:val="00B12EF5"/>
    <w:pPr>
      <w:numPr>
        <w:ilvl w:val="1"/>
        <w:numId w:val="16"/>
      </w:numPr>
      <w:outlineLvl w:val="1"/>
    </w:pPr>
  </w:style>
  <w:style w:type="paragraph" w:customStyle="1" w:styleId="SH3Ashurst">
    <w:name w:val="SH3Ashurst"/>
    <w:basedOn w:val="NormalAshurst"/>
    <w:uiPriority w:val="15"/>
    <w:rsid w:val="00B12EF5"/>
    <w:pPr>
      <w:numPr>
        <w:ilvl w:val="2"/>
        <w:numId w:val="16"/>
      </w:numPr>
      <w:outlineLvl w:val="2"/>
    </w:pPr>
  </w:style>
  <w:style w:type="paragraph" w:customStyle="1" w:styleId="SH4Ashurst">
    <w:name w:val="SH4Ashurst"/>
    <w:basedOn w:val="NormalAshurst"/>
    <w:uiPriority w:val="15"/>
    <w:rsid w:val="00B12EF5"/>
    <w:pPr>
      <w:numPr>
        <w:ilvl w:val="3"/>
        <w:numId w:val="16"/>
      </w:numPr>
      <w:outlineLvl w:val="3"/>
    </w:pPr>
  </w:style>
  <w:style w:type="paragraph" w:customStyle="1" w:styleId="SH5Ashurst">
    <w:name w:val="SH5Ashurst"/>
    <w:basedOn w:val="NormalAshurst"/>
    <w:uiPriority w:val="44"/>
    <w:rsid w:val="00B12EF5"/>
    <w:pPr>
      <w:numPr>
        <w:ilvl w:val="4"/>
        <w:numId w:val="16"/>
      </w:numPr>
      <w:outlineLvl w:val="4"/>
    </w:pPr>
  </w:style>
  <w:style w:type="paragraph" w:customStyle="1" w:styleId="AltH1Ashurst">
    <w:name w:val="AltH1Ashurst"/>
    <w:basedOn w:val="NormalAshurst"/>
    <w:uiPriority w:val="40"/>
    <w:rsid w:val="00B12EF5"/>
    <w:pPr>
      <w:numPr>
        <w:numId w:val="31"/>
      </w:numPr>
      <w:outlineLvl w:val="0"/>
    </w:pPr>
  </w:style>
  <w:style w:type="paragraph" w:customStyle="1" w:styleId="AltH2Ashurst">
    <w:name w:val="AltH2Ashurst"/>
    <w:basedOn w:val="NormalAshurst"/>
    <w:uiPriority w:val="40"/>
    <w:rsid w:val="00B12EF5"/>
    <w:pPr>
      <w:numPr>
        <w:ilvl w:val="1"/>
        <w:numId w:val="31"/>
      </w:numPr>
      <w:outlineLvl w:val="1"/>
    </w:pPr>
  </w:style>
  <w:style w:type="paragraph" w:customStyle="1" w:styleId="AltH3Ashurst">
    <w:name w:val="AltH3Ashurst"/>
    <w:basedOn w:val="NormalAshurst"/>
    <w:uiPriority w:val="40"/>
    <w:rsid w:val="00B12EF5"/>
    <w:pPr>
      <w:numPr>
        <w:ilvl w:val="2"/>
        <w:numId w:val="31"/>
      </w:numPr>
      <w:outlineLvl w:val="2"/>
    </w:pPr>
  </w:style>
  <w:style w:type="paragraph" w:customStyle="1" w:styleId="AltH4Ashurst">
    <w:name w:val="AltH4Ashurst"/>
    <w:basedOn w:val="NormalAshurst"/>
    <w:uiPriority w:val="40"/>
    <w:rsid w:val="00B12EF5"/>
    <w:pPr>
      <w:numPr>
        <w:ilvl w:val="3"/>
        <w:numId w:val="31"/>
      </w:numPr>
      <w:outlineLvl w:val="3"/>
    </w:pPr>
  </w:style>
  <w:style w:type="paragraph" w:customStyle="1" w:styleId="AltH5Ashurst">
    <w:name w:val="AltH5Ashurst"/>
    <w:basedOn w:val="NormalAshurst"/>
    <w:uiPriority w:val="40"/>
    <w:rsid w:val="00B12EF5"/>
    <w:pPr>
      <w:numPr>
        <w:ilvl w:val="4"/>
        <w:numId w:val="31"/>
      </w:numPr>
      <w:outlineLvl w:val="4"/>
    </w:pPr>
  </w:style>
  <w:style w:type="paragraph" w:customStyle="1" w:styleId="AltH6Ashurst">
    <w:name w:val="AltH6Ashurst"/>
    <w:basedOn w:val="NormalAshurst"/>
    <w:uiPriority w:val="40"/>
    <w:rsid w:val="00B12EF5"/>
    <w:pPr>
      <w:numPr>
        <w:ilvl w:val="5"/>
        <w:numId w:val="31"/>
      </w:numPr>
      <w:outlineLvl w:val="5"/>
    </w:pPr>
  </w:style>
  <w:style w:type="paragraph" w:customStyle="1" w:styleId="AltSH1Ashurst">
    <w:name w:val="AltSH1Ashurst"/>
    <w:basedOn w:val="NormalAshurst"/>
    <w:uiPriority w:val="45"/>
    <w:rsid w:val="00B12EF5"/>
    <w:pPr>
      <w:numPr>
        <w:numId w:val="17"/>
      </w:numPr>
      <w:outlineLvl w:val="0"/>
    </w:pPr>
  </w:style>
  <w:style w:type="paragraph" w:customStyle="1" w:styleId="AltSH2Ashurst">
    <w:name w:val="AltSH2Ashurst"/>
    <w:basedOn w:val="NormalAshurst"/>
    <w:uiPriority w:val="45"/>
    <w:rsid w:val="00B12EF5"/>
    <w:pPr>
      <w:numPr>
        <w:ilvl w:val="1"/>
        <w:numId w:val="17"/>
      </w:numPr>
      <w:outlineLvl w:val="1"/>
    </w:pPr>
  </w:style>
  <w:style w:type="paragraph" w:customStyle="1" w:styleId="AltSH3Ashurst">
    <w:name w:val="AltSH3Ashurst"/>
    <w:basedOn w:val="NormalAshurst"/>
    <w:uiPriority w:val="45"/>
    <w:rsid w:val="00B12EF5"/>
    <w:pPr>
      <w:numPr>
        <w:ilvl w:val="2"/>
        <w:numId w:val="17"/>
      </w:numPr>
      <w:outlineLvl w:val="2"/>
    </w:pPr>
  </w:style>
  <w:style w:type="paragraph" w:customStyle="1" w:styleId="AltSH4Ashurst">
    <w:name w:val="AltSH4Ashurst"/>
    <w:basedOn w:val="NormalAshurst"/>
    <w:uiPriority w:val="45"/>
    <w:rsid w:val="00B12EF5"/>
    <w:pPr>
      <w:numPr>
        <w:ilvl w:val="3"/>
        <w:numId w:val="17"/>
      </w:numPr>
      <w:outlineLvl w:val="3"/>
    </w:pPr>
  </w:style>
  <w:style w:type="paragraph" w:customStyle="1" w:styleId="AltSH5Ashurst">
    <w:name w:val="AltSH5Ashurst"/>
    <w:basedOn w:val="NormalAshurst"/>
    <w:uiPriority w:val="45"/>
    <w:rsid w:val="00B12EF5"/>
    <w:pPr>
      <w:numPr>
        <w:ilvl w:val="4"/>
        <w:numId w:val="17"/>
      </w:numPr>
      <w:outlineLvl w:val="4"/>
    </w:pPr>
  </w:style>
  <w:style w:type="paragraph" w:customStyle="1" w:styleId="PartiesAshurst">
    <w:name w:val="PartiesAshurst"/>
    <w:basedOn w:val="NormalAshurst"/>
    <w:uiPriority w:val="26"/>
    <w:rsid w:val="00B12EF5"/>
    <w:pPr>
      <w:numPr>
        <w:numId w:val="18"/>
      </w:numPr>
      <w:outlineLvl w:val="0"/>
    </w:pPr>
  </w:style>
  <w:style w:type="paragraph" w:customStyle="1" w:styleId="RecitalsAshurst">
    <w:name w:val="RecitalsAshurst"/>
    <w:basedOn w:val="NormalAshurst"/>
    <w:uiPriority w:val="26"/>
    <w:rsid w:val="00B12EF5"/>
    <w:pPr>
      <w:numPr>
        <w:numId w:val="19"/>
      </w:numPr>
      <w:outlineLvl w:val="0"/>
    </w:pPr>
  </w:style>
  <w:style w:type="paragraph" w:customStyle="1" w:styleId="DefinitionsAshurst">
    <w:name w:val="DefinitionsAshurst"/>
    <w:basedOn w:val="NormalAshurst"/>
    <w:uiPriority w:val="26"/>
    <w:rsid w:val="00B12EF5"/>
    <w:pPr>
      <w:numPr>
        <w:ilvl w:val="1"/>
        <w:numId w:val="30"/>
      </w:numPr>
      <w:outlineLvl w:val="1"/>
    </w:pPr>
  </w:style>
  <w:style w:type="paragraph" w:customStyle="1" w:styleId="DefSubAshurst">
    <w:name w:val="DefSubAshurst"/>
    <w:basedOn w:val="NormalAshurst"/>
    <w:uiPriority w:val="26"/>
    <w:rsid w:val="00B12EF5"/>
    <w:pPr>
      <w:numPr>
        <w:ilvl w:val="2"/>
        <w:numId w:val="30"/>
      </w:numPr>
      <w:outlineLvl w:val="2"/>
    </w:pPr>
  </w:style>
  <w:style w:type="paragraph" w:customStyle="1" w:styleId="Bullet1Ashurst">
    <w:name w:val="Bullet1Ashurst"/>
    <w:basedOn w:val="NormalAshurst"/>
    <w:uiPriority w:val="15"/>
    <w:rsid w:val="00B12EF5"/>
    <w:pPr>
      <w:numPr>
        <w:numId w:val="20"/>
      </w:numPr>
    </w:pPr>
  </w:style>
  <w:style w:type="paragraph" w:customStyle="1" w:styleId="Bullet2Ashurst">
    <w:name w:val="Bullet2Ashurst"/>
    <w:basedOn w:val="NormalAshurst"/>
    <w:uiPriority w:val="48"/>
    <w:rsid w:val="00B12EF5"/>
    <w:pPr>
      <w:numPr>
        <w:numId w:val="21"/>
      </w:numPr>
    </w:pPr>
  </w:style>
  <w:style w:type="paragraph" w:customStyle="1" w:styleId="Bullet3Ashurst">
    <w:name w:val="Bullet3Ashurst"/>
    <w:basedOn w:val="NormalAshurst"/>
    <w:uiPriority w:val="57"/>
    <w:rsid w:val="00B12EF5"/>
    <w:pPr>
      <w:numPr>
        <w:numId w:val="22"/>
      </w:numPr>
    </w:pPr>
  </w:style>
  <w:style w:type="paragraph" w:customStyle="1" w:styleId="Bullet4Ashurst">
    <w:name w:val="Bullet4Ashurst"/>
    <w:basedOn w:val="NormalAshurst"/>
    <w:uiPriority w:val="57"/>
    <w:rsid w:val="00B12EF5"/>
    <w:pPr>
      <w:numPr>
        <w:numId w:val="23"/>
      </w:numPr>
    </w:pPr>
  </w:style>
  <w:style w:type="paragraph" w:customStyle="1" w:styleId="Bullet5Ashurst">
    <w:name w:val="Bullet5Ashurst"/>
    <w:basedOn w:val="NormalAshurst"/>
    <w:uiPriority w:val="57"/>
    <w:rsid w:val="00B12EF5"/>
    <w:pPr>
      <w:numPr>
        <w:numId w:val="24"/>
      </w:numPr>
    </w:pPr>
  </w:style>
  <w:style w:type="paragraph" w:customStyle="1" w:styleId="Bullet6Ashurst">
    <w:name w:val="Bullet6Ashurst"/>
    <w:basedOn w:val="NormalAshurst"/>
    <w:uiPriority w:val="57"/>
    <w:rsid w:val="00B12EF5"/>
    <w:pPr>
      <w:numPr>
        <w:numId w:val="25"/>
      </w:numPr>
    </w:pPr>
  </w:style>
  <w:style w:type="character" w:customStyle="1" w:styleId="NormalAshurstChar">
    <w:name w:val="NormalAshurst Char"/>
    <w:basedOn w:val="DefaultParagraphFont"/>
    <w:link w:val="NormalAshurst"/>
    <w:rsid w:val="00B12EF5"/>
  </w:style>
  <w:style w:type="paragraph" w:customStyle="1" w:styleId="FootnoteMore">
    <w:name w:val="Footnote More"/>
    <w:basedOn w:val="NormalAshurst"/>
    <w:uiPriority w:val="79"/>
    <w:rsid w:val="00B96EBF"/>
    <w:pPr>
      <w:tabs>
        <w:tab w:val="left" w:pos="782"/>
        <w:tab w:val="left" w:pos="1406"/>
        <w:tab w:val="left" w:pos="2030"/>
      </w:tabs>
      <w:spacing w:after="100" w:line="200" w:lineRule="atLeast"/>
      <w:ind w:left="782"/>
    </w:pPr>
    <w:rPr>
      <w:sz w:val="14"/>
      <w:szCs w:val="20"/>
    </w:rPr>
  </w:style>
  <w:style w:type="paragraph" w:customStyle="1" w:styleId="TableAshurst">
    <w:name w:val="TableAshurst"/>
    <w:basedOn w:val="NormalAshurst"/>
    <w:uiPriority w:val="60"/>
    <w:rsid w:val="00B12EF5"/>
    <w:pPr>
      <w:spacing w:before="110" w:after="110"/>
    </w:pPr>
  </w:style>
  <w:style w:type="paragraph" w:customStyle="1" w:styleId="APPENDIXAshurst">
    <w:name w:val="APPENDIXAshurst"/>
    <w:basedOn w:val="NormalAshurst"/>
    <w:next w:val="AppendixSubAshurst"/>
    <w:uiPriority w:val="79"/>
    <w:rsid w:val="00B12EF5"/>
    <w:pPr>
      <w:keepNext/>
      <w:numPr>
        <w:numId w:val="26"/>
      </w:numPr>
      <w:jc w:val="center"/>
      <w:outlineLvl w:val="0"/>
    </w:pPr>
    <w:rPr>
      <w:b/>
      <w:caps/>
    </w:rPr>
  </w:style>
  <w:style w:type="paragraph" w:customStyle="1" w:styleId="AppendixSubAshurst">
    <w:name w:val="AppendixSubAshurst"/>
    <w:basedOn w:val="NormalAshurst"/>
    <w:next w:val="NormalAshurst"/>
    <w:uiPriority w:val="43"/>
    <w:rsid w:val="00B12EF5"/>
    <w:pPr>
      <w:keepNext/>
      <w:jc w:val="center"/>
      <w:outlineLvl w:val="1"/>
    </w:pPr>
    <w:rPr>
      <w:b/>
    </w:rPr>
  </w:style>
  <w:style w:type="paragraph" w:customStyle="1" w:styleId="B12Ashurst">
    <w:name w:val="B1&amp;2Ashurst"/>
    <w:basedOn w:val="NormalAshurst"/>
    <w:uiPriority w:val="2"/>
    <w:qFormat/>
    <w:rsid w:val="00B12EF5"/>
    <w:pPr>
      <w:tabs>
        <w:tab w:val="left" w:pos="1406"/>
        <w:tab w:val="left" w:pos="2030"/>
        <w:tab w:val="left" w:pos="2654"/>
        <w:tab w:val="left" w:pos="3277"/>
        <w:tab w:val="left" w:pos="3901"/>
      </w:tabs>
      <w:ind w:left="782"/>
    </w:pPr>
  </w:style>
  <w:style w:type="paragraph" w:customStyle="1" w:styleId="BulletAshurst">
    <w:name w:val="BulletAshurst"/>
    <w:basedOn w:val="NormalAshurst"/>
    <w:rsid w:val="00B12EF5"/>
    <w:pPr>
      <w:numPr>
        <w:numId w:val="27"/>
      </w:numPr>
    </w:pPr>
  </w:style>
  <w:style w:type="paragraph" w:customStyle="1" w:styleId="TOCSubHeadingAshurst">
    <w:name w:val="TOCSubHeadingAshurst"/>
    <w:basedOn w:val="CBOLDCAPSAshurst"/>
    <w:next w:val="NormalAshurst"/>
    <w:uiPriority w:val="79"/>
    <w:rsid w:val="00B12EF5"/>
    <w:pPr>
      <w:tabs>
        <w:tab w:val="right" w:pos="9072"/>
      </w:tabs>
      <w:jc w:val="left"/>
      <w:outlineLvl w:val="0"/>
    </w:pPr>
  </w:style>
  <w:style w:type="character" w:customStyle="1" w:styleId="HiddenAshurst">
    <w:name w:val="HiddenAshurst"/>
    <w:uiPriority w:val="37"/>
    <w:rsid w:val="00B12EF5"/>
    <w:rPr>
      <w:rFonts w:asciiTheme="minorHAnsi" w:eastAsiaTheme="minorEastAsia" w:hAnsiTheme="minorHAnsi" w:cstheme="minorBidi"/>
      <w:vanish/>
      <w:color w:val="FF0000"/>
      <w:szCs w:val="24"/>
    </w:rPr>
  </w:style>
  <w:style w:type="paragraph" w:customStyle="1" w:styleId="StandardBoldAshurst">
    <w:name w:val="StandardBoldAshurst"/>
    <w:basedOn w:val="StandardAshurst"/>
    <w:next w:val="NormalAshurst"/>
    <w:uiPriority w:val="60"/>
    <w:rsid w:val="00B12EF5"/>
    <w:rPr>
      <w:b/>
    </w:rPr>
  </w:style>
  <w:style w:type="paragraph" w:customStyle="1" w:styleId="BN36ptBeforeAshurst">
    <w:name w:val="BN36ptBeforeAshurst"/>
    <w:basedOn w:val="NormalAshurst"/>
    <w:uiPriority w:val="61"/>
    <w:rsid w:val="00B12EF5"/>
    <w:pPr>
      <w:spacing w:before="720" w:after="0"/>
    </w:pPr>
  </w:style>
  <w:style w:type="paragraph" w:customStyle="1" w:styleId="BN45ptBeforeAshurst">
    <w:name w:val="BN45ptBeforeAshurst"/>
    <w:basedOn w:val="NormalAshurst"/>
    <w:next w:val="NormalAshurst"/>
    <w:uiPriority w:val="61"/>
    <w:rsid w:val="00B12EF5"/>
    <w:pPr>
      <w:spacing w:before="900" w:after="0"/>
    </w:pPr>
  </w:style>
  <w:style w:type="paragraph" w:customStyle="1" w:styleId="BNDocTypeAshurst">
    <w:name w:val="BNDocTypeAshurst"/>
    <w:basedOn w:val="Normal"/>
    <w:next w:val="StandardAshurst"/>
    <w:uiPriority w:val="61"/>
    <w:rsid w:val="00B12EF5"/>
    <w:pPr>
      <w:spacing w:before="1120" w:after="860"/>
      <w:jc w:val="left"/>
    </w:pPr>
    <w:rPr>
      <w:b/>
      <w:sz w:val="24"/>
      <w:szCs w:val="30"/>
    </w:rPr>
  </w:style>
  <w:style w:type="paragraph" w:customStyle="1" w:styleId="BNHealthWarningAshurst">
    <w:name w:val="BNHealthWarningAshurst"/>
    <w:basedOn w:val="NormalAshurst"/>
    <w:next w:val="StandardAshurst"/>
    <w:uiPriority w:val="61"/>
    <w:rsid w:val="00B12EF5"/>
    <w:pPr>
      <w:spacing w:after="200"/>
    </w:pPr>
    <w:rPr>
      <w:b/>
      <w:sz w:val="16"/>
      <w:szCs w:val="22"/>
    </w:rPr>
  </w:style>
  <w:style w:type="paragraph" w:customStyle="1" w:styleId="BNTable1Ashurst">
    <w:name w:val="BNTable1Ashurst"/>
    <w:basedOn w:val="TableAshurst"/>
    <w:uiPriority w:val="61"/>
    <w:rsid w:val="00B12EF5"/>
    <w:pPr>
      <w:spacing w:before="120" w:after="120"/>
    </w:pPr>
    <w:rPr>
      <w:sz w:val="14"/>
      <w:szCs w:val="20"/>
    </w:rPr>
  </w:style>
  <w:style w:type="paragraph" w:customStyle="1" w:styleId="BNTable2Ashurst">
    <w:name w:val="BNTable2Ashurst"/>
    <w:basedOn w:val="BNTable1Ashurst"/>
    <w:uiPriority w:val="61"/>
    <w:rsid w:val="00B12EF5"/>
    <w:pPr>
      <w:ind w:left="108"/>
      <w:jc w:val="left"/>
    </w:pPr>
  </w:style>
  <w:style w:type="paragraph" w:customStyle="1" w:styleId="BNTitle22Ashurst">
    <w:name w:val="BNTitle22Ashurst"/>
    <w:basedOn w:val="NormalAshurst"/>
    <w:uiPriority w:val="61"/>
    <w:rsid w:val="00B12EF5"/>
    <w:pPr>
      <w:spacing w:after="0"/>
      <w:jc w:val="left"/>
    </w:pPr>
    <w:rPr>
      <w:sz w:val="44"/>
      <w:szCs w:val="50"/>
    </w:rPr>
  </w:style>
  <w:style w:type="paragraph" w:customStyle="1" w:styleId="CSSubTitleAshurst">
    <w:name w:val="CSSubTitleAshurst"/>
    <w:basedOn w:val="NormalAshurst"/>
    <w:next w:val="NormalAshurst"/>
    <w:uiPriority w:val="61"/>
    <w:rsid w:val="00B12EF5"/>
    <w:pPr>
      <w:keepNext/>
      <w:jc w:val="left"/>
    </w:pPr>
    <w:rPr>
      <w:sz w:val="32"/>
      <w:szCs w:val="38"/>
    </w:rPr>
  </w:style>
  <w:style w:type="paragraph" w:customStyle="1" w:styleId="CSTitleAshurst">
    <w:name w:val="CSTitleAshurst"/>
    <w:basedOn w:val="NormalAshurst"/>
    <w:next w:val="NormalAshurst"/>
    <w:uiPriority w:val="61"/>
    <w:rsid w:val="00B12EF5"/>
    <w:pPr>
      <w:spacing w:before="1240" w:after="840"/>
      <w:jc w:val="left"/>
    </w:pPr>
    <w:rPr>
      <w:sz w:val="42"/>
      <w:szCs w:val="48"/>
    </w:rPr>
  </w:style>
  <w:style w:type="paragraph" w:customStyle="1" w:styleId="CSTxtAshurst">
    <w:name w:val="CSTxtAshurst"/>
    <w:basedOn w:val="NormalAshurst"/>
    <w:next w:val="NormalAshurst"/>
    <w:uiPriority w:val="61"/>
    <w:rsid w:val="00B12EF5"/>
    <w:pPr>
      <w:jc w:val="left"/>
    </w:pPr>
    <w:rPr>
      <w:sz w:val="24"/>
      <w:szCs w:val="30"/>
    </w:rPr>
  </w:style>
  <w:style w:type="paragraph" w:customStyle="1" w:styleId="MACompaniesAshurst">
    <w:name w:val="M&amp;ACompaniesAshurst"/>
    <w:basedOn w:val="CSTxtAshurst"/>
    <w:uiPriority w:val="61"/>
    <w:rsid w:val="00B12EF5"/>
    <w:pPr>
      <w:spacing w:before="1320" w:after="0"/>
    </w:pPr>
  </w:style>
  <w:style w:type="paragraph" w:customStyle="1" w:styleId="MATitle22Ashurst">
    <w:name w:val="M&amp;ATitle22Ashurst"/>
    <w:basedOn w:val="BNTitle22Ashurst"/>
    <w:uiPriority w:val="61"/>
    <w:rsid w:val="00B12EF5"/>
    <w:pPr>
      <w:spacing w:before="480" w:after="400"/>
    </w:pPr>
  </w:style>
  <w:style w:type="paragraph" w:customStyle="1" w:styleId="ParticularsTableAshurst">
    <w:name w:val="ParticularsTableAshurst"/>
    <w:basedOn w:val="TableAshurst"/>
    <w:uiPriority w:val="61"/>
    <w:rsid w:val="00B12EF5"/>
    <w:pPr>
      <w:jc w:val="left"/>
    </w:pPr>
  </w:style>
  <w:style w:type="paragraph" w:customStyle="1" w:styleId="SDBoldItalicsAshurst">
    <w:name w:val="SDBoldItalicsAshurst"/>
    <w:basedOn w:val="B12Ashurst"/>
    <w:uiPriority w:val="61"/>
    <w:rsid w:val="00B12EF5"/>
    <w:rPr>
      <w:b/>
      <w:i/>
    </w:rPr>
  </w:style>
  <w:style w:type="paragraph" w:customStyle="1" w:styleId="SDDocTypeAshurst">
    <w:name w:val="SDDocTypeAshurst"/>
    <w:basedOn w:val="BNDocTypeAshurst"/>
    <w:next w:val="StandardAshurst"/>
    <w:uiPriority w:val="61"/>
    <w:rsid w:val="00B12EF5"/>
  </w:style>
  <w:style w:type="paragraph" w:customStyle="1" w:styleId="SDTitle22Ashurst">
    <w:name w:val="SDTitle22Ashurst"/>
    <w:basedOn w:val="BNTitle22Ashurst"/>
    <w:next w:val="StandardAshurst"/>
    <w:uiPriority w:val="61"/>
    <w:rsid w:val="00B12EF5"/>
    <w:rPr>
      <w:b/>
    </w:rPr>
  </w:style>
  <w:style w:type="paragraph" w:customStyle="1" w:styleId="BN20ptBeforeAshurst">
    <w:name w:val="BN20ptBeforeAshurst"/>
    <w:basedOn w:val="NormalAshurst"/>
    <w:next w:val="NormalAshurst"/>
    <w:uiPriority w:val="61"/>
    <w:rsid w:val="00B12EF5"/>
    <w:pPr>
      <w:spacing w:before="400" w:after="0"/>
    </w:pPr>
  </w:style>
  <w:style w:type="paragraph" w:customStyle="1" w:styleId="NormalBoldAshurst">
    <w:name w:val="NormalBoldAshurst"/>
    <w:basedOn w:val="NormalAshurst"/>
    <w:next w:val="NormalAshurst"/>
    <w:uiPriority w:val="79"/>
    <w:rsid w:val="00B12EF5"/>
    <w:rPr>
      <w:b/>
    </w:rPr>
  </w:style>
  <w:style w:type="paragraph" w:customStyle="1" w:styleId="TableNum1Ashurst">
    <w:name w:val="TableNum1Ashurst"/>
    <w:basedOn w:val="TableAshurst"/>
    <w:uiPriority w:val="58"/>
    <w:rsid w:val="00B12EF5"/>
    <w:pPr>
      <w:numPr>
        <w:numId w:val="29"/>
      </w:numPr>
      <w:outlineLvl w:val="0"/>
    </w:pPr>
  </w:style>
  <w:style w:type="paragraph" w:customStyle="1" w:styleId="AltRecitalsAshurst">
    <w:name w:val="AltRecitalsAshurst"/>
    <w:basedOn w:val="RecitalsAshurst"/>
    <w:rsid w:val="00B12EF5"/>
    <w:pPr>
      <w:numPr>
        <w:numId w:val="28"/>
      </w:numPr>
    </w:pPr>
  </w:style>
  <w:style w:type="paragraph" w:customStyle="1" w:styleId="LBItalicsAshurst">
    <w:name w:val="LBItalicsAshurst"/>
    <w:basedOn w:val="NormalAshurst"/>
    <w:next w:val="NormalAshurst"/>
    <w:uiPriority w:val="60"/>
    <w:rsid w:val="00B12EF5"/>
    <w:pPr>
      <w:keepNext/>
    </w:pPr>
    <w:rPr>
      <w:b/>
      <w:i/>
    </w:rPr>
  </w:style>
  <w:style w:type="paragraph" w:customStyle="1" w:styleId="TableNum2Ashurst">
    <w:name w:val="TableNum2Ashurst"/>
    <w:basedOn w:val="TableAshurst"/>
    <w:uiPriority w:val="58"/>
    <w:rsid w:val="00B12EF5"/>
    <w:pPr>
      <w:numPr>
        <w:ilvl w:val="1"/>
        <w:numId w:val="29"/>
      </w:numPr>
      <w:outlineLvl w:val="1"/>
    </w:pPr>
  </w:style>
  <w:style w:type="paragraph" w:customStyle="1" w:styleId="TableNum3Ashurst">
    <w:name w:val="TableNum3Ashurst"/>
    <w:basedOn w:val="TableAshurst"/>
    <w:uiPriority w:val="58"/>
    <w:rsid w:val="00B12EF5"/>
    <w:pPr>
      <w:numPr>
        <w:ilvl w:val="2"/>
        <w:numId w:val="29"/>
      </w:numPr>
    </w:pPr>
  </w:style>
  <w:style w:type="paragraph" w:customStyle="1" w:styleId="TableNum4Ashurst">
    <w:name w:val="TableNum4Ashurst"/>
    <w:basedOn w:val="TableAshurst"/>
    <w:uiPriority w:val="58"/>
    <w:rsid w:val="00B12EF5"/>
    <w:pPr>
      <w:numPr>
        <w:ilvl w:val="3"/>
        <w:numId w:val="29"/>
      </w:numPr>
    </w:pPr>
  </w:style>
  <w:style w:type="paragraph" w:customStyle="1" w:styleId="TableNum5Ashurst">
    <w:name w:val="TableNum5Ashurst"/>
    <w:basedOn w:val="TableAshurst"/>
    <w:uiPriority w:val="58"/>
    <w:rsid w:val="00B12EF5"/>
    <w:pPr>
      <w:numPr>
        <w:ilvl w:val="4"/>
        <w:numId w:val="29"/>
      </w:numPr>
    </w:pPr>
  </w:style>
  <w:style w:type="paragraph" w:customStyle="1" w:styleId="TableNum6Ashurst">
    <w:name w:val="TableNum6Ashurst"/>
    <w:basedOn w:val="TableAshurst"/>
    <w:uiPriority w:val="58"/>
    <w:rsid w:val="00B12EF5"/>
    <w:pPr>
      <w:numPr>
        <w:ilvl w:val="5"/>
        <w:numId w:val="29"/>
      </w:numPr>
    </w:pPr>
  </w:style>
  <w:style w:type="paragraph" w:customStyle="1" w:styleId="DefinitionsClauseAshurst">
    <w:name w:val="DefinitionsClauseAshurst"/>
    <w:basedOn w:val="NormalAshurst"/>
    <w:uiPriority w:val="26"/>
    <w:rsid w:val="00B12EF5"/>
    <w:pPr>
      <w:numPr>
        <w:numId w:val="30"/>
      </w:numPr>
      <w:outlineLvl w:val="0"/>
    </w:pPr>
    <w:rPr>
      <w:lang w:eastAsia="en-GB"/>
    </w:rPr>
  </w:style>
  <w:style w:type="paragraph" w:customStyle="1" w:styleId="AltH7Ashurst">
    <w:name w:val="AltH7Ashurst"/>
    <w:basedOn w:val="NormalAshurst"/>
    <w:uiPriority w:val="40"/>
    <w:rsid w:val="00B12EF5"/>
    <w:pPr>
      <w:numPr>
        <w:ilvl w:val="6"/>
        <w:numId w:val="31"/>
      </w:numPr>
      <w:outlineLvl w:val="6"/>
    </w:pPr>
  </w:style>
  <w:style w:type="paragraph" w:customStyle="1" w:styleId="AltH8Ashurst">
    <w:name w:val="AltH8Ashurst"/>
    <w:basedOn w:val="NormalAshurst"/>
    <w:uiPriority w:val="40"/>
    <w:rsid w:val="00B12EF5"/>
    <w:pPr>
      <w:numPr>
        <w:ilvl w:val="7"/>
        <w:numId w:val="31"/>
      </w:numPr>
      <w:outlineLvl w:val="7"/>
    </w:pPr>
  </w:style>
  <w:style w:type="paragraph" w:customStyle="1" w:styleId="H7Ashurst">
    <w:name w:val="H7Ashurst"/>
    <w:basedOn w:val="NormalAshurst"/>
    <w:uiPriority w:val="38"/>
    <w:rsid w:val="00B12EF5"/>
    <w:pPr>
      <w:numPr>
        <w:ilvl w:val="6"/>
        <w:numId w:val="32"/>
      </w:numPr>
      <w:outlineLvl w:val="6"/>
    </w:pPr>
  </w:style>
  <w:style w:type="paragraph" w:customStyle="1" w:styleId="H8Ashurst">
    <w:name w:val="H8Ashurst"/>
    <w:basedOn w:val="NormalAshurst"/>
    <w:uiPriority w:val="38"/>
    <w:rsid w:val="00B12EF5"/>
    <w:pPr>
      <w:numPr>
        <w:ilvl w:val="7"/>
        <w:numId w:val="32"/>
      </w:numPr>
      <w:outlineLvl w:val="7"/>
    </w:pPr>
  </w:style>
  <w:style w:type="paragraph" w:customStyle="1" w:styleId="B7Ashurst">
    <w:name w:val="B7Ashurst"/>
    <w:basedOn w:val="NormalAshurst"/>
    <w:uiPriority w:val="56"/>
    <w:rsid w:val="00B12EF5"/>
    <w:pPr>
      <w:tabs>
        <w:tab w:val="left" w:pos="4525"/>
      </w:tabs>
      <w:ind w:left="3901"/>
    </w:pPr>
  </w:style>
  <w:style w:type="paragraph" w:customStyle="1" w:styleId="B8Ashurst">
    <w:name w:val="B8Ashurst"/>
    <w:basedOn w:val="NormalAshurst"/>
    <w:uiPriority w:val="56"/>
    <w:rsid w:val="00B12EF5"/>
    <w:pPr>
      <w:tabs>
        <w:tab w:val="left" w:pos="5148"/>
      </w:tabs>
      <w:ind w:left="4525"/>
    </w:pPr>
  </w:style>
  <w:style w:type="paragraph" w:styleId="BodyText">
    <w:name w:val="Body Text"/>
    <w:basedOn w:val="Normal"/>
    <w:link w:val="BodyTextChar"/>
    <w:uiPriority w:val="98"/>
    <w:semiHidden/>
    <w:rsid w:val="00B12EF5"/>
    <w:pPr>
      <w:spacing w:after="120"/>
    </w:pPr>
  </w:style>
  <w:style w:type="character" w:customStyle="1" w:styleId="BodyTextChar">
    <w:name w:val="Body Text Char"/>
    <w:basedOn w:val="DefaultParagraphFont"/>
    <w:link w:val="BodyText"/>
    <w:uiPriority w:val="98"/>
    <w:semiHidden/>
    <w:rsid w:val="00B12EF5"/>
    <w:rPr>
      <w:rFonts w:asciiTheme="minorHAnsi" w:eastAsiaTheme="minorEastAsia" w:hAnsiTheme="minorHAnsi" w:cstheme="minorBidi"/>
      <w:szCs w:val="24"/>
    </w:rPr>
  </w:style>
  <w:style w:type="character" w:styleId="FootnoteReference">
    <w:name w:val="footnote reference"/>
    <w:basedOn w:val="DefaultParagraphFont"/>
    <w:uiPriority w:val="98"/>
    <w:rsid w:val="00B12EF5"/>
    <w:rPr>
      <w:rFonts w:asciiTheme="minorHAnsi" w:eastAsiaTheme="minorEastAsia" w:hAnsiTheme="minorHAnsi" w:cstheme="minorBidi"/>
      <w:sz w:val="14"/>
      <w:szCs w:val="20"/>
      <w:vertAlign w:val="superscript"/>
    </w:rPr>
  </w:style>
  <w:style w:type="paragraph" w:styleId="FootnoteText">
    <w:name w:val="footnote text"/>
    <w:basedOn w:val="NormalAshurst"/>
    <w:next w:val="FootnoteMore"/>
    <w:link w:val="FootnoteTextChar"/>
    <w:uiPriority w:val="98"/>
    <w:rsid w:val="00B96EBF"/>
    <w:pPr>
      <w:tabs>
        <w:tab w:val="left" w:pos="782"/>
        <w:tab w:val="left" w:pos="1406"/>
        <w:tab w:val="left" w:pos="2030"/>
      </w:tabs>
      <w:spacing w:after="100" w:line="200" w:lineRule="atLeast"/>
      <w:ind w:left="782" w:hanging="782"/>
    </w:pPr>
    <w:rPr>
      <w:sz w:val="14"/>
      <w:szCs w:val="20"/>
      <w:lang w:eastAsia="zh-CN"/>
    </w:rPr>
  </w:style>
  <w:style w:type="character" w:customStyle="1" w:styleId="FootnoteTextChar">
    <w:name w:val="Footnote Text Char"/>
    <w:basedOn w:val="DefaultParagraphFont"/>
    <w:link w:val="FootnoteText"/>
    <w:uiPriority w:val="98"/>
    <w:rsid w:val="00B96EBF"/>
    <w:rPr>
      <w:rFonts w:asciiTheme="minorHAnsi" w:eastAsiaTheme="minorEastAsia" w:hAnsiTheme="minorHAnsi" w:cstheme="minorBidi"/>
      <w:sz w:val="14"/>
      <w:szCs w:val="20"/>
      <w:lang w:eastAsia="zh-CN"/>
    </w:rPr>
  </w:style>
  <w:style w:type="numbering" w:styleId="111111">
    <w:name w:val="Outline List 2"/>
    <w:basedOn w:val="NoList"/>
    <w:uiPriority w:val="98"/>
    <w:semiHidden/>
    <w:rsid w:val="00B12EF5"/>
    <w:pPr>
      <w:numPr>
        <w:numId w:val="13"/>
      </w:numPr>
    </w:pPr>
  </w:style>
  <w:style w:type="numbering" w:styleId="1ai">
    <w:name w:val="Outline List 1"/>
    <w:basedOn w:val="NoList"/>
    <w:uiPriority w:val="98"/>
    <w:semiHidden/>
    <w:rsid w:val="00B12EF5"/>
    <w:pPr>
      <w:numPr>
        <w:numId w:val="12"/>
      </w:numPr>
    </w:pPr>
  </w:style>
  <w:style w:type="numbering" w:styleId="ArticleSection">
    <w:name w:val="Outline List 3"/>
    <w:basedOn w:val="NoList"/>
    <w:uiPriority w:val="98"/>
    <w:semiHidden/>
    <w:rsid w:val="00B12EF5"/>
    <w:pPr>
      <w:numPr>
        <w:numId w:val="14"/>
      </w:numPr>
    </w:pPr>
  </w:style>
  <w:style w:type="paragraph" w:styleId="BalloonText">
    <w:name w:val="Balloon Text"/>
    <w:basedOn w:val="Normal"/>
    <w:link w:val="BalloonTextChar"/>
    <w:uiPriority w:val="98"/>
    <w:semiHidden/>
    <w:rsid w:val="00B12EF5"/>
    <w:pPr>
      <w:spacing w:line="240" w:lineRule="auto"/>
    </w:pPr>
    <w:rPr>
      <w:sz w:val="16"/>
      <w:szCs w:val="22"/>
    </w:rPr>
  </w:style>
  <w:style w:type="character" w:customStyle="1" w:styleId="BalloonTextChar">
    <w:name w:val="Balloon Text Char"/>
    <w:basedOn w:val="DefaultParagraphFont"/>
    <w:link w:val="BalloonText"/>
    <w:uiPriority w:val="98"/>
    <w:semiHidden/>
    <w:rsid w:val="00B12EF5"/>
    <w:rPr>
      <w:rFonts w:asciiTheme="minorHAnsi" w:eastAsiaTheme="minorEastAsia" w:hAnsiTheme="minorHAnsi" w:cstheme="minorBidi"/>
      <w:sz w:val="16"/>
      <w:szCs w:val="22"/>
    </w:rPr>
  </w:style>
  <w:style w:type="paragraph" w:styleId="Bibliography">
    <w:name w:val="Bibliography"/>
    <w:basedOn w:val="Normal"/>
    <w:next w:val="Normal"/>
    <w:uiPriority w:val="98"/>
    <w:semiHidden/>
    <w:rsid w:val="00B12EF5"/>
  </w:style>
  <w:style w:type="paragraph" w:styleId="BlockText">
    <w:name w:val="Block Text"/>
    <w:basedOn w:val="Normal"/>
    <w:uiPriority w:val="98"/>
    <w:semiHidden/>
    <w:rsid w:val="00B12EF5"/>
    <w:pPr>
      <w:pBdr>
        <w:top w:val="single" w:sz="2" w:space="10" w:color="DDDDDD" w:themeColor="accent1" w:frame="1"/>
        <w:left w:val="single" w:sz="2" w:space="10" w:color="DDDDDD" w:themeColor="accent1" w:frame="1"/>
        <w:bottom w:val="single" w:sz="2" w:space="10" w:color="DDDDDD" w:themeColor="accent1" w:frame="1"/>
        <w:right w:val="single" w:sz="2" w:space="10" w:color="DDDDDD" w:themeColor="accent1" w:frame="1"/>
      </w:pBdr>
      <w:ind w:left="1152" w:right="1152"/>
    </w:pPr>
    <w:rPr>
      <w:i/>
      <w:iCs/>
      <w:color w:val="DDDDDD" w:themeColor="accent1"/>
    </w:rPr>
  </w:style>
  <w:style w:type="paragraph" w:styleId="BodyText2">
    <w:name w:val="Body Text 2"/>
    <w:basedOn w:val="Normal"/>
    <w:link w:val="BodyText2Char"/>
    <w:uiPriority w:val="98"/>
    <w:semiHidden/>
    <w:rsid w:val="00B12EF5"/>
    <w:pPr>
      <w:spacing w:after="120" w:line="480" w:lineRule="auto"/>
    </w:pPr>
  </w:style>
  <w:style w:type="character" w:customStyle="1" w:styleId="BodyText2Char">
    <w:name w:val="Body Text 2 Char"/>
    <w:basedOn w:val="DefaultParagraphFont"/>
    <w:link w:val="BodyText2"/>
    <w:uiPriority w:val="98"/>
    <w:semiHidden/>
    <w:rsid w:val="00B12EF5"/>
    <w:rPr>
      <w:rFonts w:asciiTheme="minorHAnsi" w:eastAsiaTheme="minorEastAsia" w:hAnsiTheme="minorHAnsi" w:cstheme="minorBidi"/>
      <w:szCs w:val="24"/>
    </w:rPr>
  </w:style>
  <w:style w:type="paragraph" w:styleId="BodyText3">
    <w:name w:val="Body Text 3"/>
    <w:basedOn w:val="Normal"/>
    <w:link w:val="BodyText3Char"/>
    <w:uiPriority w:val="98"/>
    <w:semiHidden/>
    <w:rsid w:val="00B12EF5"/>
    <w:pPr>
      <w:spacing w:after="120"/>
    </w:pPr>
    <w:rPr>
      <w:sz w:val="16"/>
      <w:szCs w:val="22"/>
    </w:rPr>
  </w:style>
  <w:style w:type="character" w:customStyle="1" w:styleId="BodyText3Char">
    <w:name w:val="Body Text 3 Char"/>
    <w:basedOn w:val="DefaultParagraphFont"/>
    <w:link w:val="BodyText3"/>
    <w:uiPriority w:val="98"/>
    <w:semiHidden/>
    <w:rsid w:val="00B12EF5"/>
    <w:rPr>
      <w:rFonts w:asciiTheme="minorHAnsi" w:eastAsiaTheme="minorEastAsia" w:hAnsiTheme="minorHAnsi" w:cstheme="minorBidi"/>
      <w:sz w:val="16"/>
      <w:szCs w:val="22"/>
    </w:rPr>
  </w:style>
  <w:style w:type="paragraph" w:styleId="BodyTextFirstIndent">
    <w:name w:val="Body Text First Indent"/>
    <w:basedOn w:val="BodyText"/>
    <w:link w:val="BodyTextFirstIndentChar"/>
    <w:uiPriority w:val="98"/>
    <w:semiHidden/>
    <w:rsid w:val="00B12EF5"/>
    <w:pPr>
      <w:spacing w:after="0"/>
      <w:ind w:firstLine="360"/>
    </w:pPr>
  </w:style>
  <w:style w:type="character" w:customStyle="1" w:styleId="BodyTextFirstIndentChar">
    <w:name w:val="Body Text First Indent Char"/>
    <w:basedOn w:val="BodyTextChar"/>
    <w:link w:val="BodyTextFirstIndent"/>
    <w:uiPriority w:val="98"/>
    <w:semiHidden/>
    <w:rsid w:val="00B12EF5"/>
    <w:rPr>
      <w:rFonts w:asciiTheme="minorHAnsi" w:eastAsiaTheme="minorEastAsia" w:hAnsiTheme="minorHAnsi" w:cstheme="minorBidi"/>
      <w:szCs w:val="24"/>
    </w:rPr>
  </w:style>
  <w:style w:type="paragraph" w:styleId="BodyTextIndent">
    <w:name w:val="Body Text Indent"/>
    <w:basedOn w:val="Normal"/>
    <w:link w:val="BodyTextIndentChar"/>
    <w:uiPriority w:val="98"/>
    <w:semiHidden/>
    <w:rsid w:val="00B12EF5"/>
    <w:pPr>
      <w:spacing w:after="120"/>
      <w:ind w:left="283"/>
    </w:pPr>
  </w:style>
  <w:style w:type="character" w:customStyle="1" w:styleId="BodyTextIndentChar">
    <w:name w:val="Body Text Indent Char"/>
    <w:basedOn w:val="DefaultParagraphFont"/>
    <w:link w:val="BodyTextIndent"/>
    <w:uiPriority w:val="98"/>
    <w:semiHidden/>
    <w:rsid w:val="00B12EF5"/>
    <w:rPr>
      <w:rFonts w:asciiTheme="minorHAnsi" w:eastAsiaTheme="minorEastAsia" w:hAnsiTheme="minorHAnsi" w:cstheme="minorBidi"/>
      <w:szCs w:val="24"/>
    </w:rPr>
  </w:style>
  <w:style w:type="paragraph" w:styleId="BodyTextFirstIndent2">
    <w:name w:val="Body Text First Indent 2"/>
    <w:basedOn w:val="BodyTextIndent"/>
    <w:link w:val="BodyTextFirstIndent2Char"/>
    <w:uiPriority w:val="98"/>
    <w:semiHidden/>
    <w:rsid w:val="00B12EF5"/>
    <w:pPr>
      <w:spacing w:after="0"/>
      <w:ind w:left="360" w:firstLine="360"/>
    </w:pPr>
  </w:style>
  <w:style w:type="character" w:customStyle="1" w:styleId="BodyTextFirstIndent2Char">
    <w:name w:val="Body Text First Indent 2 Char"/>
    <w:basedOn w:val="BodyTextIndentChar"/>
    <w:link w:val="BodyTextFirstIndent2"/>
    <w:uiPriority w:val="98"/>
    <w:semiHidden/>
    <w:rsid w:val="00B12EF5"/>
    <w:rPr>
      <w:rFonts w:asciiTheme="minorHAnsi" w:eastAsiaTheme="minorEastAsia" w:hAnsiTheme="minorHAnsi" w:cstheme="minorBidi"/>
      <w:szCs w:val="24"/>
    </w:rPr>
  </w:style>
  <w:style w:type="paragraph" w:styleId="BodyTextIndent2">
    <w:name w:val="Body Text Indent 2"/>
    <w:basedOn w:val="Normal"/>
    <w:link w:val="BodyTextIndent2Char"/>
    <w:uiPriority w:val="98"/>
    <w:semiHidden/>
    <w:rsid w:val="00B12EF5"/>
    <w:pPr>
      <w:spacing w:after="120" w:line="480" w:lineRule="auto"/>
      <w:ind w:left="283"/>
    </w:pPr>
  </w:style>
  <w:style w:type="character" w:customStyle="1" w:styleId="BodyTextIndent2Char">
    <w:name w:val="Body Text Indent 2 Char"/>
    <w:basedOn w:val="DefaultParagraphFont"/>
    <w:link w:val="BodyTextIndent2"/>
    <w:uiPriority w:val="98"/>
    <w:semiHidden/>
    <w:rsid w:val="00B12EF5"/>
    <w:rPr>
      <w:rFonts w:asciiTheme="minorHAnsi" w:eastAsiaTheme="minorEastAsia" w:hAnsiTheme="minorHAnsi" w:cstheme="minorBidi"/>
      <w:szCs w:val="24"/>
    </w:rPr>
  </w:style>
  <w:style w:type="paragraph" w:styleId="BodyTextIndent3">
    <w:name w:val="Body Text Indent 3"/>
    <w:basedOn w:val="Normal"/>
    <w:link w:val="BodyTextIndent3Char"/>
    <w:uiPriority w:val="98"/>
    <w:semiHidden/>
    <w:rsid w:val="00B12EF5"/>
    <w:pPr>
      <w:spacing w:after="120"/>
      <w:ind w:left="283"/>
    </w:pPr>
    <w:rPr>
      <w:sz w:val="16"/>
      <w:szCs w:val="22"/>
    </w:rPr>
  </w:style>
  <w:style w:type="character" w:customStyle="1" w:styleId="BodyTextIndent3Char">
    <w:name w:val="Body Text Indent 3 Char"/>
    <w:basedOn w:val="DefaultParagraphFont"/>
    <w:link w:val="BodyTextIndent3"/>
    <w:uiPriority w:val="98"/>
    <w:semiHidden/>
    <w:rsid w:val="00B12EF5"/>
    <w:rPr>
      <w:rFonts w:asciiTheme="minorHAnsi" w:eastAsiaTheme="minorEastAsia" w:hAnsiTheme="minorHAnsi" w:cstheme="minorBidi"/>
      <w:sz w:val="16"/>
      <w:szCs w:val="22"/>
    </w:rPr>
  </w:style>
  <w:style w:type="character" w:styleId="BookTitle">
    <w:name w:val="Book Title"/>
    <w:basedOn w:val="DefaultParagraphFont"/>
    <w:uiPriority w:val="98"/>
    <w:semiHidden/>
    <w:rsid w:val="00B12EF5"/>
    <w:rPr>
      <w:rFonts w:asciiTheme="minorHAnsi" w:eastAsiaTheme="minorEastAsia" w:hAnsiTheme="minorHAnsi" w:cstheme="minorBidi"/>
      <w:b/>
      <w:bCs/>
      <w:smallCaps/>
      <w:spacing w:val="5"/>
      <w:szCs w:val="24"/>
    </w:rPr>
  </w:style>
  <w:style w:type="paragraph" w:styleId="Caption">
    <w:name w:val="caption"/>
    <w:basedOn w:val="Normal"/>
    <w:next w:val="Normal"/>
    <w:uiPriority w:val="98"/>
    <w:semiHidden/>
    <w:rsid w:val="00B12EF5"/>
    <w:pPr>
      <w:spacing w:after="200" w:line="240" w:lineRule="auto"/>
    </w:pPr>
    <w:rPr>
      <w:b/>
      <w:bCs/>
      <w:color w:val="DDDDDD" w:themeColor="accent1"/>
    </w:rPr>
  </w:style>
  <w:style w:type="paragraph" w:styleId="Closing">
    <w:name w:val="Closing"/>
    <w:basedOn w:val="Normal"/>
    <w:link w:val="ClosingChar"/>
    <w:uiPriority w:val="98"/>
    <w:semiHidden/>
    <w:rsid w:val="00B12EF5"/>
    <w:pPr>
      <w:spacing w:line="240" w:lineRule="auto"/>
      <w:ind w:left="4252"/>
    </w:pPr>
  </w:style>
  <w:style w:type="character" w:customStyle="1" w:styleId="ClosingChar">
    <w:name w:val="Closing Char"/>
    <w:basedOn w:val="DefaultParagraphFont"/>
    <w:link w:val="Closing"/>
    <w:uiPriority w:val="98"/>
    <w:semiHidden/>
    <w:rsid w:val="00B12EF5"/>
    <w:rPr>
      <w:rFonts w:asciiTheme="minorHAnsi" w:eastAsiaTheme="minorEastAsia" w:hAnsiTheme="minorHAnsi" w:cstheme="minorBidi"/>
      <w:szCs w:val="24"/>
    </w:rPr>
  </w:style>
  <w:style w:type="table" w:styleId="ColorfulGrid">
    <w:name w:val="Colorful Grid"/>
    <w:basedOn w:val="TableNormal"/>
    <w:uiPriority w:val="98"/>
    <w:semiHidden/>
    <w:rsid w:val="00B12EF5"/>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98"/>
    <w:semiHidden/>
    <w:rsid w:val="00B12EF5"/>
    <w:rPr>
      <w:color w:val="000000" w:themeColor="text1"/>
    </w:rPr>
    <w:tblPr>
      <w:tblStyleRowBandSize w:val="1"/>
      <w:tblStyleColBandSize w:val="1"/>
      <w:tblBorders>
        <w:insideH w:val="single" w:sz="4" w:space="0" w:color="FFFFFF" w:themeColor="background1"/>
      </w:tblBorders>
    </w:tblPr>
    <w:tcPr>
      <w:shd w:val="clear" w:color="auto" w:fill="F8F8F8" w:themeFill="accent1" w:themeFillTint="33"/>
    </w:tcPr>
    <w:tblStylePr w:type="firstRow">
      <w:rPr>
        <w:b/>
        <w:bCs/>
      </w:rPr>
      <w:tblPr/>
      <w:tcPr>
        <w:shd w:val="clear" w:color="auto" w:fill="F1F1F1" w:themeFill="accent1" w:themeFillTint="66"/>
      </w:tcPr>
    </w:tblStylePr>
    <w:tblStylePr w:type="lastRow">
      <w:rPr>
        <w:b/>
        <w:bCs/>
        <w:color w:val="000000" w:themeColor="text1"/>
      </w:rPr>
      <w:tblPr/>
      <w:tcPr>
        <w:shd w:val="clear" w:color="auto" w:fill="F1F1F1" w:themeFill="accent1" w:themeFillTint="66"/>
      </w:tcPr>
    </w:tblStylePr>
    <w:tblStylePr w:type="firstCol">
      <w:rPr>
        <w:color w:val="FFFFFF" w:themeColor="background1"/>
      </w:rPr>
      <w:tblPr/>
      <w:tcPr>
        <w:shd w:val="clear" w:color="auto" w:fill="A5A5A5" w:themeFill="accent1" w:themeFillShade="BF"/>
      </w:tcPr>
    </w:tblStylePr>
    <w:tblStylePr w:type="lastCol">
      <w:rPr>
        <w:color w:val="FFFFFF" w:themeColor="background1"/>
      </w:rPr>
      <w:tblPr/>
      <w:tcPr>
        <w:shd w:val="clear" w:color="auto" w:fill="A5A5A5" w:themeFill="accent1" w:themeFillShade="BF"/>
      </w:tcPr>
    </w:tblStylePr>
    <w:tblStylePr w:type="band1Vert">
      <w:tblPr/>
      <w:tcPr>
        <w:shd w:val="clear" w:color="auto" w:fill="EEEEEE" w:themeFill="accent1" w:themeFillTint="7F"/>
      </w:tcPr>
    </w:tblStylePr>
    <w:tblStylePr w:type="band1Horz">
      <w:tblPr/>
      <w:tcPr>
        <w:shd w:val="clear" w:color="auto" w:fill="EEEEEE" w:themeFill="accent1" w:themeFillTint="7F"/>
      </w:tcPr>
    </w:tblStylePr>
  </w:style>
  <w:style w:type="table" w:styleId="ColorfulGrid-Accent2">
    <w:name w:val="Colorful Grid Accent 2"/>
    <w:basedOn w:val="TableNormal"/>
    <w:uiPriority w:val="98"/>
    <w:semiHidden/>
    <w:rsid w:val="00B12EF5"/>
    <w:rPr>
      <w:color w:val="000000" w:themeColor="text1"/>
    </w:rPr>
    <w:tblPr>
      <w:tblStyleRowBandSize w:val="1"/>
      <w:tblStyleColBandSize w:val="1"/>
      <w:tblBorders>
        <w:insideH w:val="single" w:sz="4" w:space="0" w:color="FFFFFF" w:themeColor="background1"/>
      </w:tblBorders>
    </w:tblPr>
    <w:tcPr>
      <w:shd w:val="clear" w:color="auto" w:fill="EFEFEF" w:themeFill="accent2" w:themeFillTint="33"/>
    </w:tcPr>
    <w:tblStylePr w:type="firstRow">
      <w:rPr>
        <w:b/>
        <w:bCs/>
      </w:rPr>
      <w:tblPr/>
      <w:tcPr>
        <w:shd w:val="clear" w:color="auto" w:fill="E0E0E0" w:themeFill="accent2" w:themeFillTint="66"/>
      </w:tcPr>
    </w:tblStylePr>
    <w:tblStylePr w:type="lastRow">
      <w:rPr>
        <w:b/>
        <w:bCs/>
        <w:color w:val="000000" w:themeColor="text1"/>
      </w:rPr>
      <w:tblPr/>
      <w:tcPr>
        <w:shd w:val="clear" w:color="auto" w:fill="E0E0E0" w:themeFill="accent2" w:themeFillTint="66"/>
      </w:tcPr>
    </w:tblStylePr>
    <w:tblStylePr w:type="firstCol">
      <w:rPr>
        <w:color w:val="FFFFFF" w:themeColor="background1"/>
      </w:rPr>
      <w:tblPr/>
      <w:tcPr>
        <w:shd w:val="clear" w:color="auto" w:fill="858585" w:themeFill="accent2" w:themeFillShade="BF"/>
      </w:tcPr>
    </w:tblStylePr>
    <w:tblStylePr w:type="lastCol">
      <w:rPr>
        <w:color w:val="FFFFFF" w:themeColor="background1"/>
      </w:rPr>
      <w:tblPr/>
      <w:tcPr>
        <w:shd w:val="clear" w:color="auto" w:fill="858585" w:themeFill="accent2" w:themeFillShade="BF"/>
      </w:tcPr>
    </w:tblStylePr>
    <w:tblStylePr w:type="band1Vert">
      <w:tblPr/>
      <w:tcPr>
        <w:shd w:val="clear" w:color="auto" w:fill="D8D8D8" w:themeFill="accent2" w:themeFillTint="7F"/>
      </w:tcPr>
    </w:tblStylePr>
    <w:tblStylePr w:type="band1Horz">
      <w:tblPr/>
      <w:tcPr>
        <w:shd w:val="clear" w:color="auto" w:fill="D8D8D8" w:themeFill="accent2" w:themeFillTint="7F"/>
      </w:tcPr>
    </w:tblStylePr>
  </w:style>
  <w:style w:type="table" w:styleId="ColorfulGrid-Accent3">
    <w:name w:val="Colorful Grid Accent 3"/>
    <w:basedOn w:val="TableNormal"/>
    <w:uiPriority w:val="98"/>
    <w:semiHidden/>
    <w:rsid w:val="00B12EF5"/>
    <w:rPr>
      <w:color w:val="000000" w:themeColor="text1"/>
    </w:rPr>
    <w:tblPr>
      <w:tblStyleRowBandSize w:val="1"/>
      <w:tblStyleColBandSize w:val="1"/>
      <w:tblBorders>
        <w:insideH w:val="single" w:sz="4" w:space="0" w:color="FFFFFF" w:themeColor="background1"/>
      </w:tblBorders>
    </w:tblPr>
    <w:tcPr>
      <w:shd w:val="clear" w:color="auto" w:fill="EAEAEA" w:themeFill="accent3" w:themeFillTint="33"/>
    </w:tcPr>
    <w:tblStylePr w:type="firstRow">
      <w:rPr>
        <w:b/>
        <w:bCs/>
      </w:rPr>
      <w:tblPr/>
      <w:tcPr>
        <w:shd w:val="clear" w:color="auto" w:fill="D5D5D5" w:themeFill="accent3" w:themeFillTint="66"/>
      </w:tcPr>
    </w:tblStylePr>
    <w:tblStylePr w:type="lastRow">
      <w:rPr>
        <w:b/>
        <w:bCs/>
        <w:color w:val="000000" w:themeColor="text1"/>
      </w:rPr>
      <w:tblPr/>
      <w:tcPr>
        <w:shd w:val="clear" w:color="auto" w:fill="D5D5D5" w:themeFill="accent3" w:themeFillTint="66"/>
      </w:tcPr>
    </w:tblStylePr>
    <w:tblStylePr w:type="firstCol">
      <w:rPr>
        <w:color w:val="FFFFFF" w:themeColor="background1"/>
      </w:rPr>
      <w:tblPr/>
      <w:tcPr>
        <w:shd w:val="clear" w:color="auto" w:fill="707070" w:themeFill="accent3" w:themeFillShade="BF"/>
      </w:tcPr>
    </w:tblStylePr>
    <w:tblStylePr w:type="lastCol">
      <w:rPr>
        <w:color w:val="FFFFFF" w:themeColor="background1"/>
      </w:rPr>
      <w:tblPr/>
      <w:tcPr>
        <w:shd w:val="clear" w:color="auto" w:fill="707070" w:themeFill="accent3" w:themeFillShade="BF"/>
      </w:tcPr>
    </w:tblStylePr>
    <w:tblStylePr w:type="band1Vert">
      <w:tblPr/>
      <w:tcPr>
        <w:shd w:val="clear" w:color="auto" w:fill="CACACA" w:themeFill="accent3" w:themeFillTint="7F"/>
      </w:tcPr>
    </w:tblStylePr>
    <w:tblStylePr w:type="band1Horz">
      <w:tblPr/>
      <w:tcPr>
        <w:shd w:val="clear" w:color="auto" w:fill="CACACA" w:themeFill="accent3" w:themeFillTint="7F"/>
      </w:tcPr>
    </w:tblStylePr>
  </w:style>
  <w:style w:type="table" w:styleId="ColorfulGrid-Accent4">
    <w:name w:val="Colorful Grid Accent 4"/>
    <w:basedOn w:val="TableNormal"/>
    <w:uiPriority w:val="98"/>
    <w:semiHidden/>
    <w:rsid w:val="00B12EF5"/>
    <w:rPr>
      <w:color w:val="000000" w:themeColor="text1"/>
    </w:rPr>
    <w:tblPr>
      <w:tblStyleRowBandSize w:val="1"/>
      <w:tblStyleColBandSize w:val="1"/>
      <w:tblBorders>
        <w:insideH w:val="single" w:sz="4" w:space="0" w:color="FFFFFF" w:themeColor="background1"/>
      </w:tblBorders>
    </w:tblPr>
    <w:tcPr>
      <w:shd w:val="clear" w:color="auto" w:fill="E5E5E5" w:themeFill="accent4" w:themeFillTint="33"/>
    </w:tcPr>
    <w:tblStylePr w:type="firstRow">
      <w:rPr>
        <w:b/>
        <w:bCs/>
      </w:rPr>
      <w:tblPr/>
      <w:tcPr>
        <w:shd w:val="clear" w:color="auto" w:fill="CCCCCC" w:themeFill="accent4" w:themeFillTint="66"/>
      </w:tcPr>
    </w:tblStylePr>
    <w:tblStylePr w:type="lastRow">
      <w:rPr>
        <w:b/>
        <w:bCs/>
        <w:color w:val="000000" w:themeColor="text1"/>
      </w:rPr>
      <w:tblPr/>
      <w:tcPr>
        <w:shd w:val="clear" w:color="auto" w:fill="CCCCCC" w:themeFill="accent4" w:themeFillTint="66"/>
      </w:tcPr>
    </w:tblStylePr>
    <w:tblStylePr w:type="firstCol">
      <w:rPr>
        <w:color w:val="FFFFFF" w:themeColor="background1"/>
      </w:rPr>
      <w:tblPr/>
      <w:tcPr>
        <w:shd w:val="clear" w:color="auto" w:fill="5F5F5F" w:themeFill="accent4" w:themeFillShade="BF"/>
      </w:tcPr>
    </w:tblStylePr>
    <w:tblStylePr w:type="lastCol">
      <w:rPr>
        <w:color w:val="FFFFFF" w:themeColor="background1"/>
      </w:rPr>
      <w:tblPr/>
      <w:tcPr>
        <w:shd w:val="clear" w:color="auto" w:fill="5F5F5F" w:themeFill="accent4" w:themeFillShade="BF"/>
      </w:tcPr>
    </w:tblStylePr>
    <w:tblStylePr w:type="band1Vert">
      <w:tblPr/>
      <w:tcPr>
        <w:shd w:val="clear" w:color="auto" w:fill="BFBFBF" w:themeFill="accent4" w:themeFillTint="7F"/>
      </w:tcPr>
    </w:tblStylePr>
    <w:tblStylePr w:type="band1Horz">
      <w:tblPr/>
      <w:tcPr>
        <w:shd w:val="clear" w:color="auto" w:fill="BFBFBF" w:themeFill="accent4" w:themeFillTint="7F"/>
      </w:tcPr>
    </w:tblStylePr>
  </w:style>
  <w:style w:type="table" w:styleId="ColorfulGrid-Accent5">
    <w:name w:val="Colorful Grid Accent 5"/>
    <w:basedOn w:val="TableNormal"/>
    <w:uiPriority w:val="98"/>
    <w:semiHidden/>
    <w:rsid w:val="00B12EF5"/>
    <w:rPr>
      <w:color w:val="000000" w:themeColor="text1"/>
    </w:rPr>
    <w:tblPr>
      <w:tblStyleRowBandSize w:val="1"/>
      <w:tblStyleColBandSize w:val="1"/>
      <w:tblBorders>
        <w:insideH w:val="single" w:sz="4" w:space="0" w:color="FFFFFF" w:themeColor="background1"/>
      </w:tblBorders>
    </w:tblPr>
    <w:tcPr>
      <w:shd w:val="clear" w:color="auto" w:fill="DFDFDF" w:themeFill="accent5" w:themeFillTint="33"/>
    </w:tcPr>
    <w:tblStylePr w:type="firstRow">
      <w:rPr>
        <w:b/>
        <w:bCs/>
      </w:rPr>
      <w:tblPr/>
      <w:tcPr>
        <w:shd w:val="clear" w:color="auto" w:fill="BFBFBF" w:themeFill="accent5" w:themeFillTint="66"/>
      </w:tcPr>
    </w:tblStylePr>
    <w:tblStylePr w:type="lastRow">
      <w:rPr>
        <w:b/>
        <w:bCs/>
        <w:color w:val="000000" w:themeColor="text1"/>
      </w:rPr>
      <w:tblPr/>
      <w:tcPr>
        <w:shd w:val="clear" w:color="auto" w:fill="BFBFBF" w:themeFill="accent5" w:themeFillTint="66"/>
      </w:tcPr>
    </w:tblStylePr>
    <w:tblStylePr w:type="firstCol">
      <w:rPr>
        <w:color w:val="FFFFFF" w:themeColor="background1"/>
      </w:rPr>
      <w:tblPr/>
      <w:tcPr>
        <w:shd w:val="clear" w:color="auto" w:fill="474747" w:themeFill="accent5" w:themeFillShade="BF"/>
      </w:tcPr>
    </w:tblStylePr>
    <w:tblStylePr w:type="lastCol">
      <w:rPr>
        <w:color w:val="FFFFFF" w:themeColor="background1"/>
      </w:rPr>
      <w:tblPr/>
      <w:tcPr>
        <w:shd w:val="clear" w:color="auto" w:fill="474747" w:themeFill="accent5" w:themeFillShade="BF"/>
      </w:tcPr>
    </w:tblStylePr>
    <w:tblStylePr w:type="band1Vert">
      <w:tblPr/>
      <w:tcPr>
        <w:shd w:val="clear" w:color="auto" w:fill="AFAFAF" w:themeFill="accent5" w:themeFillTint="7F"/>
      </w:tcPr>
    </w:tblStylePr>
    <w:tblStylePr w:type="band1Horz">
      <w:tblPr/>
      <w:tcPr>
        <w:shd w:val="clear" w:color="auto" w:fill="AFAFAF" w:themeFill="accent5" w:themeFillTint="7F"/>
      </w:tcPr>
    </w:tblStylePr>
  </w:style>
  <w:style w:type="table" w:styleId="ColorfulGrid-Accent6">
    <w:name w:val="Colorful Grid Accent 6"/>
    <w:basedOn w:val="TableNormal"/>
    <w:uiPriority w:val="98"/>
    <w:semiHidden/>
    <w:rsid w:val="00B12EF5"/>
    <w:rPr>
      <w:color w:val="000000" w:themeColor="text1"/>
    </w:rPr>
    <w:tblPr>
      <w:tblStyleRowBandSize w:val="1"/>
      <w:tblStyleColBandSize w:val="1"/>
      <w:tblBorders>
        <w:insideH w:val="single" w:sz="4" w:space="0" w:color="FFFFFF" w:themeColor="background1"/>
      </w:tblBorders>
    </w:tblPr>
    <w:tcPr>
      <w:shd w:val="clear" w:color="auto" w:fill="DBDBDB" w:themeFill="accent6" w:themeFillTint="33"/>
    </w:tcPr>
    <w:tblStylePr w:type="firstRow">
      <w:rPr>
        <w:b/>
        <w:bCs/>
      </w:rPr>
      <w:tblPr/>
      <w:tcPr>
        <w:shd w:val="clear" w:color="auto" w:fill="B7B7B7" w:themeFill="accent6" w:themeFillTint="66"/>
      </w:tcPr>
    </w:tblStylePr>
    <w:tblStylePr w:type="lastRow">
      <w:rPr>
        <w:b/>
        <w:bCs/>
        <w:color w:val="000000" w:themeColor="text1"/>
      </w:rPr>
      <w:tblPr/>
      <w:tcPr>
        <w:shd w:val="clear" w:color="auto" w:fill="B7B7B7" w:themeFill="accent6" w:themeFillTint="66"/>
      </w:tcPr>
    </w:tblStylePr>
    <w:tblStylePr w:type="firstCol">
      <w:rPr>
        <w:color w:val="FFFFFF" w:themeColor="background1"/>
      </w:rPr>
      <w:tblPr/>
      <w:tcPr>
        <w:shd w:val="clear" w:color="auto" w:fill="393939" w:themeFill="accent6" w:themeFillShade="BF"/>
      </w:tcPr>
    </w:tblStylePr>
    <w:tblStylePr w:type="lastCol">
      <w:rPr>
        <w:color w:val="FFFFFF" w:themeColor="background1"/>
      </w:rPr>
      <w:tblPr/>
      <w:tcPr>
        <w:shd w:val="clear" w:color="auto" w:fill="393939" w:themeFill="accent6" w:themeFillShade="BF"/>
      </w:tcPr>
    </w:tblStylePr>
    <w:tblStylePr w:type="band1Vert">
      <w:tblPr/>
      <w:tcPr>
        <w:shd w:val="clear" w:color="auto" w:fill="A6A6A6" w:themeFill="accent6" w:themeFillTint="7F"/>
      </w:tcPr>
    </w:tblStylePr>
    <w:tblStylePr w:type="band1Horz">
      <w:tblPr/>
      <w:tcPr>
        <w:shd w:val="clear" w:color="auto" w:fill="A6A6A6" w:themeFill="accent6" w:themeFillTint="7F"/>
      </w:tcPr>
    </w:tblStylePr>
  </w:style>
  <w:style w:type="table" w:styleId="ColorfulList">
    <w:name w:val="Colorful List"/>
    <w:basedOn w:val="TableNormal"/>
    <w:uiPriority w:val="98"/>
    <w:semiHidden/>
    <w:rsid w:val="00B12EF5"/>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8E8E8E" w:themeFill="accent2" w:themeFillShade="CC"/>
      </w:tcPr>
    </w:tblStylePr>
    <w:tblStylePr w:type="lastRow">
      <w:rPr>
        <w:b/>
        <w:bCs/>
        <w:color w:val="8E8E8E"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98"/>
    <w:semiHidden/>
    <w:rsid w:val="00B12EF5"/>
    <w:rPr>
      <w:color w:val="000000" w:themeColor="text1"/>
    </w:rPr>
    <w:tblPr>
      <w:tblStyleRowBandSize w:val="1"/>
      <w:tblStyleColBandSize w:val="1"/>
    </w:tblPr>
    <w:tcPr>
      <w:shd w:val="clear" w:color="auto" w:fill="FBFBFB" w:themeFill="accent1" w:themeFillTint="19"/>
    </w:tcPr>
    <w:tblStylePr w:type="firstRow">
      <w:rPr>
        <w:b/>
        <w:bCs/>
        <w:color w:val="FFFFFF" w:themeColor="background1"/>
      </w:rPr>
      <w:tblPr/>
      <w:tcPr>
        <w:tcBorders>
          <w:bottom w:val="single" w:sz="12" w:space="0" w:color="FFFFFF" w:themeColor="background1"/>
        </w:tcBorders>
        <w:shd w:val="clear" w:color="auto" w:fill="8E8E8E" w:themeFill="accent2" w:themeFillShade="CC"/>
      </w:tcPr>
    </w:tblStylePr>
    <w:tblStylePr w:type="lastRow">
      <w:rPr>
        <w:b/>
        <w:bCs/>
        <w:color w:val="8E8E8E"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6F6F6" w:themeFill="accent1" w:themeFillTint="3F"/>
      </w:tcPr>
    </w:tblStylePr>
    <w:tblStylePr w:type="band1Horz">
      <w:tblPr/>
      <w:tcPr>
        <w:shd w:val="clear" w:color="auto" w:fill="F8F8F8" w:themeFill="accent1" w:themeFillTint="33"/>
      </w:tcPr>
    </w:tblStylePr>
  </w:style>
  <w:style w:type="table" w:styleId="ColorfulList-Accent2">
    <w:name w:val="Colorful List Accent 2"/>
    <w:basedOn w:val="TableNormal"/>
    <w:uiPriority w:val="98"/>
    <w:semiHidden/>
    <w:rsid w:val="00B12EF5"/>
    <w:rPr>
      <w:color w:val="000000" w:themeColor="text1"/>
    </w:rPr>
    <w:tblPr>
      <w:tblStyleRowBandSize w:val="1"/>
      <w:tblStyleColBandSize w:val="1"/>
    </w:tblPr>
    <w:tcPr>
      <w:shd w:val="clear" w:color="auto" w:fill="F7F7F7" w:themeFill="accent2" w:themeFillTint="19"/>
    </w:tcPr>
    <w:tblStylePr w:type="firstRow">
      <w:rPr>
        <w:b/>
        <w:bCs/>
        <w:color w:val="FFFFFF" w:themeColor="background1"/>
      </w:rPr>
      <w:tblPr/>
      <w:tcPr>
        <w:tcBorders>
          <w:bottom w:val="single" w:sz="12" w:space="0" w:color="FFFFFF" w:themeColor="background1"/>
        </w:tcBorders>
        <w:shd w:val="clear" w:color="auto" w:fill="8E8E8E" w:themeFill="accent2" w:themeFillShade="CC"/>
      </w:tcPr>
    </w:tblStylePr>
    <w:tblStylePr w:type="lastRow">
      <w:rPr>
        <w:b/>
        <w:bCs/>
        <w:color w:val="8E8E8E"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BEBEB" w:themeFill="accent2" w:themeFillTint="3F"/>
      </w:tcPr>
    </w:tblStylePr>
    <w:tblStylePr w:type="band1Horz">
      <w:tblPr/>
      <w:tcPr>
        <w:shd w:val="clear" w:color="auto" w:fill="EFEFEF" w:themeFill="accent2" w:themeFillTint="33"/>
      </w:tcPr>
    </w:tblStylePr>
  </w:style>
  <w:style w:type="table" w:styleId="ColorfulList-Accent3">
    <w:name w:val="Colorful List Accent 3"/>
    <w:basedOn w:val="TableNormal"/>
    <w:uiPriority w:val="98"/>
    <w:semiHidden/>
    <w:rsid w:val="00B12EF5"/>
    <w:rPr>
      <w:color w:val="000000" w:themeColor="text1"/>
    </w:rPr>
    <w:tblPr>
      <w:tblStyleRowBandSize w:val="1"/>
      <w:tblStyleColBandSize w:val="1"/>
    </w:tblPr>
    <w:tcPr>
      <w:shd w:val="clear" w:color="auto" w:fill="F4F4F4" w:themeFill="accent3" w:themeFillTint="19"/>
    </w:tcPr>
    <w:tblStylePr w:type="firstRow">
      <w:rPr>
        <w:b/>
        <w:bCs/>
        <w:color w:val="FFFFFF" w:themeColor="background1"/>
      </w:rPr>
      <w:tblPr/>
      <w:tcPr>
        <w:tcBorders>
          <w:bottom w:val="single" w:sz="12" w:space="0" w:color="FFFFFF" w:themeColor="background1"/>
        </w:tcBorders>
        <w:shd w:val="clear" w:color="auto" w:fill="666666" w:themeFill="accent4" w:themeFillShade="CC"/>
      </w:tcPr>
    </w:tblStylePr>
    <w:tblStylePr w:type="lastRow">
      <w:rPr>
        <w:b/>
        <w:bCs/>
        <w:color w:val="666666"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5E5E5" w:themeFill="accent3" w:themeFillTint="3F"/>
      </w:tcPr>
    </w:tblStylePr>
    <w:tblStylePr w:type="band1Horz">
      <w:tblPr/>
      <w:tcPr>
        <w:shd w:val="clear" w:color="auto" w:fill="EAEAEA" w:themeFill="accent3" w:themeFillTint="33"/>
      </w:tcPr>
    </w:tblStylePr>
  </w:style>
  <w:style w:type="table" w:styleId="ColorfulList-Accent4">
    <w:name w:val="Colorful List Accent 4"/>
    <w:basedOn w:val="TableNormal"/>
    <w:uiPriority w:val="98"/>
    <w:semiHidden/>
    <w:rsid w:val="00B12EF5"/>
    <w:rPr>
      <w:color w:val="000000" w:themeColor="text1"/>
    </w:rPr>
    <w:tblPr>
      <w:tblStyleRowBandSize w:val="1"/>
      <w:tblStyleColBandSize w:val="1"/>
    </w:tblPr>
    <w:tcPr>
      <w:shd w:val="clear" w:color="auto" w:fill="F2F2F2" w:themeFill="accent4" w:themeFillTint="19"/>
    </w:tcPr>
    <w:tblStylePr w:type="firstRow">
      <w:rPr>
        <w:b/>
        <w:bCs/>
        <w:color w:val="FFFFFF" w:themeColor="background1"/>
      </w:rPr>
      <w:tblPr/>
      <w:tcPr>
        <w:tcBorders>
          <w:bottom w:val="single" w:sz="12" w:space="0" w:color="FFFFFF" w:themeColor="background1"/>
        </w:tcBorders>
        <w:shd w:val="clear" w:color="auto" w:fill="787878" w:themeFill="accent3" w:themeFillShade="CC"/>
      </w:tcPr>
    </w:tblStylePr>
    <w:tblStylePr w:type="lastRow">
      <w:rPr>
        <w:b/>
        <w:bCs/>
        <w:color w:val="787878"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FDF" w:themeFill="accent4" w:themeFillTint="3F"/>
      </w:tcPr>
    </w:tblStylePr>
    <w:tblStylePr w:type="band1Horz">
      <w:tblPr/>
      <w:tcPr>
        <w:shd w:val="clear" w:color="auto" w:fill="E5E5E5" w:themeFill="accent4" w:themeFillTint="33"/>
      </w:tcPr>
    </w:tblStylePr>
  </w:style>
  <w:style w:type="table" w:styleId="ColorfulList-Accent5">
    <w:name w:val="Colorful List Accent 5"/>
    <w:basedOn w:val="TableNormal"/>
    <w:uiPriority w:val="98"/>
    <w:semiHidden/>
    <w:rsid w:val="00B12EF5"/>
    <w:rPr>
      <w:color w:val="000000" w:themeColor="text1"/>
    </w:rPr>
    <w:tblPr>
      <w:tblStyleRowBandSize w:val="1"/>
      <w:tblStyleColBandSize w:val="1"/>
    </w:tblPr>
    <w:tcPr>
      <w:shd w:val="clear" w:color="auto" w:fill="EFEFEF" w:themeFill="accent5" w:themeFillTint="19"/>
    </w:tcPr>
    <w:tblStylePr w:type="firstRow">
      <w:rPr>
        <w:b/>
        <w:bCs/>
        <w:color w:val="FFFFFF" w:themeColor="background1"/>
      </w:rPr>
      <w:tblPr/>
      <w:tcPr>
        <w:tcBorders>
          <w:bottom w:val="single" w:sz="12" w:space="0" w:color="FFFFFF" w:themeColor="background1"/>
        </w:tcBorders>
        <w:shd w:val="clear" w:color="auto" w:fill="3D3D3D" w:themeFill="accent6" w:themeFillShade="CC"/>
      </w:tcPr>
    </w:tblStylePr>
    <w:tblStylePr w:type="lastRow">
      <w:rPr>
        <w:b/>
        <w:bCs/>
        <w:color w:val="3D3D3D"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7D7D7" w:themeFill="accent5" w:themeFillTint="3F"/>
      </w:tcPr>
    </w:tblStylePr>
    <w:tblStylePr w:type="band1Horz">
      <w:tblPr/>
      <w:tcPr>
        <w:shd w:val="clear" w:color="auto" w:fill="DFDFDF" w:themeFill="accent5" w:themeFillTint="33"/>
      </w:tcPr>
    </w:tblStylePr>
  </w:style>
  <w:style w:type="table" w:styleId="ColorfulList-Accent6">
    <w:name w:val="Colorful List Accent 6"/>
    <w:basedOn w:val="TableNormal"/>
    <w:uiPriority w:val="98"/>
    <w:semiHidden/>
    <w:rsid w:val="00B12EF5"/>
    <w:rPr>
      <w:color w:val="000000" w:themeColor="text1"/>
    </w:rPr>
    <w:tblPr>
      <w:tblStyleRowBandSize w:val="1"/>
      <w:tblStyleColBandSize w:val="1"/>
    </w:tblPr>
    <w:tcPr>
      <w:shd w:val="clear" w:color="auto" w:fill="EDEDED" w:themeFill="accent6" w:themeFillTint="19"/>
    </w:tcPr>
    <w:tblStylePr w:type="firstRow">
      <w:rPr>
        <w:b/>
        <w:bCs/>
        <w:color w:val="FFFFFF" w:themeColor="background1"/>
      </w:rPr>
      <w:tblPr/>
      <w:tcPr>
        <w:tcBorders>
          <w:bottom w:val="single" w:sz="12" w:space="0" w:color="FFFFFF" w:themeColor="background1"/>
        </w:tcBorders>
        <w:shd w:val="clear" w:color="auto" w:fill="4C4C4C" w:themeFill="accent5" w:themeFillShade="CC"/>
      </w:tcPr>
    </w:tblStylePr>
    <w:tblStylePr w:type="lastRow">
      <w:rPr>
        <w:b/>
        <w:bCs/>
        <w:color w:val="4C4C4C"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3D3" w:themeFill="accent6" w:themeFillTint="3F"/>
      </w:tcPr>
    </w:tblStylePr>
    <w:tblStylePr w:type="band1Horz">
      <w:tblPr/>
      <w:tcPr>
        <w:shd w:val="clear" w:color="auto" w:fill="DBDBDB" w:themeFill="accent6" w:themeFillTint="33"/>
      </w:tcPr>
    </w:tblStylePr>
  </w:style>
  <w:style w:type="table" w:styleId="ColorfulShading">
    <w:name w:val="Colorful Shading"/>
    <w:basedOn w:val="TableNormal"/>
    <w:uiPriority w:val="98"/>
    <w:semiHidden/>
    <w:rsid w:val="00B12EF5"/>
    <w:rPr>
      <w:color w:val="000000" w:themeColor="text1"/>
    </w:rPr>
    <w:tblPr>
      <w:tblStyleRowBandSize w:val="1"/>
      <w:tblStyleColBandSize w:val="1"/>
      <w:tblBorders>
        <w:top w:val="single" w:sz="24" w:space="0" w:color="B2B2B2"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B2B2B2"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98"/>
    <w:semiHidden/>
    <w:rsid w:val="00B12EF5"/>
    <w:rPr>
      <w:color w:val="000000" w:themeColor="text1"/>
    </w:rPr>
    <w:tblPr>
      <w:tblStyleRowBandSize w:val="1"/>
      <w:tblStyleColBandSize w:val="1"/>
      <w:tblBorders>
        <w:top w:val="single" w:sz="24" w:space="0" w:color="B2B2B2" w:themeColor="accent2"/>
        <w:left w:val="single" w:sz="4" w:space="0" w:color="DDDDDD" w:themeColor="accent1"/>
        <w:bottom w:val="single" w:sz="4" w:space="0" w:color="DDDDDD" w:themeColor="accent1"/>
        <w:right w:val="single" w:sz="4" w:space="0" w:color="DDDDDD" w:themeColor="accent1"/>
        <w:insideH w:val="single" w:sz="4" w:space="0" w:color="FFFFFF" w:themeColor="background1"/>
        <w:insideV w:val="single" w:sz="4" w:space="0" w:color="FFFFFF" w:themeColor="background1"/>
      </w:tblBorders>
    </w:tblPr>
    <w:tcPr>
      <w:shd w:val="clear" w:color="auto" w:fill="FBFBFB" w:themeFill="accent1" w:themeFillTint="19"/>
    </w:tcPr>
    <w:tblStylePr w:type="firstRow">
      <w:rPr>
        <w:b/>
        <w:bCs/>
      </w:rPr>
      <w:tblPr/>
      <w:tcPr>
        <w:tcBorders>
          <w:top w:val="nil"/>
          <w:left w:val="nil"/>
          <w:bottom w:val="single" w:sz="24" w:space="0" w:color="B2B2B2"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848484" w:themeFill="accent1" w:themeFillShade="99"/>
      </w:tcPr>
    </w:tblStylePr>
    <w:tblStylePr w:type="firstCol">
      <w:rPr>
        <w:color w:val="FFFFFF" w:themeColor="background1"/>
      </w:rPr>
      <w:tblPr/>
      <w:tcPr>
        <w:tcBorders>
          <w:top w:val="nil"/>
          <w:left w:val="nil"/>
          <w:bottom w:val="nil"/>
          <w:right w:val="nil"/>
          <w:insideH w:val="single" w:sz="4" w:space="0" w:color="848484" w:themeColor="accent1" w:themeShade="99"/>
          <w:insideV w:val="nil"/>
        </w:tcBorders>
        <w:shd w:val="clear" w:color="auto" w:fill="84848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848484" w:themeFill="accent1" w:themeFillShade="99"/>
      </w:tcPr>
    </w:tblStylePr>
    <w:tblStylePr w:type="band1Vert">
      <w:tblPr/>
      <w:tcPr>
        <w:shd w:val="clear" w:color="auto" w:fill="F1F1F1" w:themeFill="accent1" w:themeFillTint="66"/>
      </w:tcPr>
    </w:tblStylePr>
    <w:tblStylePr w:type="band1Horz">
      <w:tblPr/>
      <w:tcPr>
        <w:shd w:val="clear" w:color="auto" w:fill="EEEEE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98"/>
    <w:semiHidden/>
    <w:rsid w:val="00B12EF5"/>
    <w:rPr>
      <w:color w:val="000000" w:themeColor="text1"/>
    </w:rPr>
    <w:tblPr>
      <w:tblStyleRowBandSize w:val="1"/>
      <w:tblStyleColBandSize w:val="1"/>
      <w:tblBorders>
        <w:top w:val="single" w:sz="24" w:space="0" w:color="B2B2B2" w:themeColor="accent2"/>
        <w:left w:val="single" w:sz="4" w:space="0" w:color="B2B2B2" w:themeColor="accent2"/>
        <w:bottom w:val="single" w:sz="4" w:space="0" w:color="B2B2B2" w:themeColor="accent2"/>
        <w:right w:val="single" w:sz="4" w:space="0" w:color="B2B2B2" w:themeColor="accent2"/>
        <w:insideH w:val="single" w:sz="4" w:space="0" w:color="FFFFFF" w:themeColor="background1"/>
        <w:insideV w:val="single" w:sz="4" w:space="0" w:color="FFFFFF" w:themeColor="background1"/>
      </w:tblBorders>
    </w:tblPr>
    <w:tcPr>
      <w:shd w:val="clear" w:color="auto" w:fill="F7F7F7" w:themeFill="accent2" w:themeFillTint="19"/>
    </w:tcPr>
    <w:tblStylePr w:type="firstRow">
      <w:rPr>
        <w:b/>
        <w:bCs/>
      </w:rPr>
      <w:tblPr/>
      <w:tcPr>
        <w:tcBorders>
          <w:top w:val="nil"/>
          <w:left w:val="nil"/>
          <w:bottom w:val="single" w:sz="24" w:space="0" w:color="B2B2B2"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A6A6A" w:themeFill="accent2" w:themeFillShade="99"/>
      </w:tcPr>
    </w:tblStylePr>
    <w:tblStylePr w:type="firstCol">
      <w:rPr>
        <w:color w:val="FFFFFF" w:themeColor="background1"/>
      </w:rPr>
      <w:tblPr/>
      <w:tcPr>
        <w:tcBorders>
          <w:top w:val="nil"/>
          <w:left w:val="nil"/>
          <w:bottom w:val="nil"/>
          <w:right w:val="nil"/>
          <w:insideH w:val="single" w:sz="4" w:space="0" w:color="6A6A6A" w:themeColor="accent2" w:themeShade="99"/>
          <w:insideV w:val="nil"/>
        </w:tcBorders>
        <w:shd w:val="clear" w:color="auto" w:fill="6A6A6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6A6A6A" w:themeFill="accent2" w:themeFillShade="99"/>
      </w:tcPr>
    </w:tblStylePr>
    <w:tblStylePr w:type="band1Vert">
      <w:tblPr/>
      <w:tcPr>
        <w:shd w:val="clear" w:color="auto" w:fill="E0E0E0" w:themeFill="accent2" w:themeFillTint="66"/>
      </w:tcPr>
    </w:tblStylePr>
    <w:tblStylePr w:type="band1Horz">
      <w:tblPr/>
      <w:tcPr>
        <w:shd w:val="clear" w:color="auto" w:fill="D8D8D8"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98"/>
    <w:semiHidden/>
    <w:rsid w:val="00B12EF5"/>
    <w:rPr>
      <w:color w:val="000000" w:themeColor="text1"/>
    </w:rPr>
    <w:tblPr>
      <w:tblStyleRowBandSize w:val="1"/>
      <w:tblStyleColBandSize w:val="1"/>
      <w:tblBorders>
        <w:top w:val="single" w:sz="24" w:space="0" w:color="808080" w:themeColor="accent4"/>
        <w:left w:val="single" w:sz="4" w:space="0" w:color="969696" w:themeColor="accent3"/>
        <w:bottom w:val="single" w:sz="4" w:space="0" w:color="969696" w:themeColor="accent3"/>
        <w:right w:val="single" w:sz="4" w:space="0" w:color="969696" w:themeColor="accent3"/>
        <w:insideH w:val="single" w:sz="4" w:space="0" w:color="FFFFFF" w:themeColor="background1"/>
        <w:insideV w:val="single" w:sz="4" w:space="0" w:color="FFFFFF" w:themeColor="background1"/>
      </w:tblBorders>
    </w:tblPr>
    <w:tcPr>
      <w:shd w:val="clear" w:color="auto" w:fill="F4F4F4" w:themeFill="accent3" w:themeFillTint="19"/>
    </w:tcPr>
    <w:tblStylePr w:type="firstRow">
      <w:rPr>
        <w:b/>
        <w:bCs/>
      </w:rPr>
      <w:tblPr/>
      <w:tcPr>
        <w:tcBorders>
          <w:top w:val="nil"/>
          <w:left w:val="nil"/>
          <w:bottom w:val="single" w:sz="24" w:space="0" w:color="80808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A5A5A" w:themeFill="accent3" w:themeFillShade="99"/>
      </w:tcPr>
    </w:tblStylePr>
    <w:tblStylePr w:type="firstCol">
      <w:rPr>
        <w:color w:val="FFFFFF" w:themeColor="background1"/>
      </w:rPr>
      <w:tblPr/>
      <w:tcPr>
        <w:tcBorders>
          <w:top w:val="nil"/>
          <w:left w:val="nil"/>
          <w:bottom w:val="nil"/>
          <w:right w:val="nil"/>
          <w:insideH w:val="single" w:sz="4" w:space="0" w:color="5A5A5A" w:themeColor="accent3" w:themeShade="99"/>
          <w:insideV w:val="nil"/>
        </w:tcBorders>
        <w:shd w:val="clear" w:color="auto" w:fill="5A5A5A"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A5A5A" w:themeFill="accent3" w:themeFillShade="99"/>
      </w:tcPr>
    </w:tblStylePr>
    <w:tblStylePr w:type="band1Vert">
      <w:tblPr/>
      <w:tcPr>
        <w:shd w:val="clear" w:color="auto" w:fill="D5D5D5" w:themeFill="accent3" w:themeFillTint="66"/>
      </w:tcPr>
    </w:tblStylePr>
    <w:tblStylePr w:type="band1Horz">
      <w:tblPr/>
      <w:tcPr>
        <w:shd w:val="clear" w:color="auto" w:fill="CACACA" w:themeFill="accent3" w:themeFillTint="7F"/>
      </w:tcPr>
    </w:tblStylePr>
  </w:style>
  <w:style w:type="table" w:styleId="ColorfulShading-Accent4">
    <w:name w:val="Colorful Shading Accent 4"/>
    <w:basedOn w:val="TableNormal"/>
    <w:uiPriority w:val="98"/>
    <w:semiHidden/>
    <w:rsid w:val="00B12EF5"/>
    <w:rPr>
      <w:color w:val="000000" w:themeColor="text1"/>
    </w:rPr>
    <w:tblPr>
      <w:tblStyleRowBandSize w:val="1"/>
      <w:tblStyleColBandSize w:val="1"/>
      <w:tblBorders>
        <w:top w:val="single" w:sz="24" w:space="0" w:color="969696" w:themeColor="accent3"/>
        <w:left w:val="single" w:sz="4" w:space="0" w:color="808080" w:themeColor="accent4"/>
        <w:bottom w:val="single" w:sz="4" w:space="0" w:color="808080" w:themeColor="accent4"/>
        <w:right w:val="single" w:sz="4" w:space="0" w:color="808080" w:themeColor="accent4"/>
        <w:insideH w:val="single" w:sz="4" w:space="0" w:color="FFFFFF" w:themeColor="background1"/>
        <w:insideV w:val="single" w:sz="4" w:space="0" w:color="FFFFFF" w:themeColor="background1"/>
      </w:tblBorders>
    </w:tblPr>
    <w:tcPr>
      <w:shd w:val="clear" w:color="auto" w:fill="F2F2F2" w:themeFill="accent4" w:themeFillTint="19"/>
    </w:tcPr>
    <w:tblStylePr w:type="firstRow">
      <w:rPr>
        <w:b/>
        <w:bCs/>
      </w:rPr>
      <w:tblPr/>
      <w:tcPr>
        <w:tcBorders>
          <w:top w:val="nil"/>
          <w:left w:val="nil"/>
          <w:bottom w:val="single" w:sz="24" w:space="0" w:color="969696"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4C4C" w:themeFill="accent4" w:themeFillShade="99"/>
      </w:tcPr>
    </w:tblStylePr>
    <w:tblStylePr w:type="firstCol">
      <w:rPr>
        <w:color w:val="FFFFFF" w:themeColor="background1"/>
      </w:rPr>
      <w:tblPr/>
      <w:tcPr>
        <w:tcBorders>
          <w:top w:val="nil"/>
          <w:left w:val="nil"/>
          <w:bottom w:val="nil"/>
          <w:right w:val="nil"/>
          <w:insideH w:val="single" w:sz="4" w:space="0" w:color="4C4C4C" w:themeColor="accent4" w:themeShade="99"/>
          <w:insideV w:val="nil"/>
        </w:tcBorders>
        <w:shd w:val="clear" w:color="auto" w:fill="4C4C4C"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4C4C" w:themeFill="accent4" w:themeFillShade="99"/>
      </w:tcPr>
    </w:tblStylePr>
    <w:tblStylePr w:type="band1Vert">
      <w:tblPr/>
      <w:tcPr>
        <w:shd w:val="clear" w:color="auto" w:fill="CCCCCC" w:themeFill="accent4" w:themeFillTint="66"/>
      </w:tcPr>
    </w:tblStylePr>
    <w:tblStylePr w:type="band1Horz">
      <w:tblPr/>
      <w:tcPr>
        <w:shd w:val="clear" w:color="auto" w:fill="BFBFBF"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98"/>
    <w:semiHidden/>
    <w:rsid w:val="00B12EF5"/>
    <w:rPr>
      <w:color w:val="000000" w:themeColor="text1"/>
    </w:rPr>
    <w:tblPr>
      <w:tblStyleRowBandSize w:val="1"/>
      <w:tblStyleColBandSize w:val="1"/>
      <w:tblBorders>
        <w:top w:val="single" w:sz="24" w:space="0" w:color="4D4D4D" w:themeColor="accent6"/>
        <w:left w:val="single" w:sz="4" w:space="0" w:color="5F5F5F" w:themeColor="accent5"/>
        <w:bottom w:val="single" w:sz="4" w:space="0" w:color="5F5F5F" w:themeColor="accent5"/>
        <w:right w:val="single" w:sz="4" w:space="0" w:color="5F5F5F" w:themeColor="accent5"/>
        <w:insideH w:val="single" w:sz="4" w:space="0" w:color="FFFFFF" w:themeColor="background1"/>
        <w:insideV w:val="single" w:sz="4" w:space="0" w:color="FFFFFF" w:themeColor="background1"/>
      </w:tblBorders>
    </w:tblPr>
    <w:tcPr>
      <w:shd w:val="clear" w:color="auto" w:fill="EFEFEF" w:themeFill="accent5" w:themeFillTint="19"/>
    </w:tcPr>
    <w:tblStylePr w:type="firstRow">
      <w:rPr>
        <w:b/>
        <w:bCs/>
      </w:rPr>
      <w:tblPr/>
      <w:tcPr>
        <w:tcBorders>
          <w:top w:val="nil"/>
          <w:left w:val="nil"/>
          <w:bottom w:val="single" w:sz="24" w:space="0" w:color="4D4D4D"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393939" w:themeFill="accent5" w:themeFillShade="99"/>
      </w:tcPr>
    </w:tblStylePr>
    <w:tblStylePr w:type="firstCol">
      <w:rPr>
        <w:color w:val="FFFFFF" w:themeColor="background1"/>
      </w:rPr>
      <w:tblPr/>
      <w:tcPr>
        <w:tcBorders>
          <w:top w:val="nil"/>
          <w:left w:val="nil"/>
          <w:bottom w:val="nil"/>
          <w:right w:val="nil"/>
          <w:insideH w:val="single" w:sz="4" w:space="0" w:color="393939" w:themeColor="accent5" w:themeShade="99"/>
          <w:insideV w:val="nil"/>
        </w:tcBorders>
        <w:shd w:val="clear" w:color="auto" w:fill="393939"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393939" w:themeFill="accent5" w:themeFillShade="99"/>
      </w:tcPr>
    </w:tblStylePr>
    <w:tblStylePr w:type="band1Vert">
      <w:tblPr/>
      <w:tcPr>
        <w:shd w:val="clear" w:color="auto" w:fill="BFBFBF" w:themeFill="accent5" w:themeFillTint="66"/>
      </w:tcPr>
    </w:tblStylePr>
    <w:tblStylePr w:type="band1Horz">
      <w:tblPr/>
      <w:tcPr>
        <w:shd w:val="clear" w:color="auto" w:fill="AFAFAF"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98"/>
    <w:semiHidden/>
    <w:rsid w:val="00B12EF5"/>
    <w:rPr>
      <w:color w:val="000000" w:themeColor="text1"/>
    </w:rPr>
    <w:tblPr>
      <w:tblStyleRowBandSize w:val="1"/>
      <w:tblStyleColBandSize w:val="1"/>
      <w:tblBorders>
        <w:top w:val="single" w:sz="24" w:space="0" w:color="5F5F5F" w:themeColor="accent5"/>
        <w:left w:val="single" w:sz="4" w:space="0" w:color="4D4D4D" w:themeColor="accent6"/>
        <w:bottom w:val="single" w:sz="4" w:space="0" w:color="4D4D4D" w:themeColor="accent6"/>
        <w:right w:val="single" w:sz="4" w:space="0" w:color="4D4D4D" w:themeColor="accent6"/>
        <w:insideH w:val="single" w:sz="4" w:space="0" w:color="FFFFFF" w:themeColor="background1"/>
        <w:insideV w:val="single" w:sz="4" w:space="0" w:color="FFFFFF" w:themeColor="background1"/>
      </w:tblBorders>
    </w:tblPr>
    <w:tcPr>
      <w:shd w:val="clear" w:color="auto" w:fill="EDEDED" w:themeFill="accent6" w:themeFillTint="19"/>
    </w:tcPr>
    <w:tblStylePr w:type="firstRow">
      <w:rPr>
        <w:b/>
        <w:bCs/>
      </w:rPr>
      <w:tblPr/>
      <w:tcPr>
        <w:tcBorders>
          <w:top w:val="nil"/>
          <w:left w:val="nil"/>
          <w:bottom w:val="single" w:sz="24" w:space="0" w:color="5F5F5F"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E2E2E" w:themeFill="accent6" w:themeFillShade="99"/>
      </w:tcPr>
    </w:tblStylePr>
    <w:tblStylePr w:type="firstCol">
      <w:rPr>
        <w:color w:val="FFFFFF" w:themeColor="background1"/>
      </w:rPr>
      <w:tblPr/>
      <w:tcPr>
        <w:tcBorders>
          <w:top w:val="nil"/>
          <w:left w:val="nil"/>
          <w:bottom w:val="nil"/>
          <w:right w:val="nil"/>
          <w:insideH w:val="single" w:sz="4" w:space="0" w:color="2E2E2E" w:themeColor="accent6" w:themeShade="99"/>
          <w:insideV w:val="nil"/>
        </w:tcBorders>
        <w:shd w:val="clear" w:color="auto" w:fill="2E2E2E"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2E2E2E" w:themeFill="accent6" w:themeFillShade="99"/>
      </w:tcPr>
    </w:tblStylePr>
    <w:tblStylePr w:type="band1Vert">
      <w:tblPr/>
      <w:tcPr>
        <w:shd w:val="clear" w:color="auto" w:fill="B7B7B7" w:themeFill="accent6" w:themeFillTint="66"/>
      </w:tcPr>
    </w:tblStylePr>
    <w:tblStylePr w:type="band1Horz">
      <w:tblPr/>
      <w:tcPr>
        <w:shd w:val="clear" w:color="auto" w:fill="A6A6A6"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uiPriority w:val="98"/>
    <w:semiHidden/>
    <w:rsid w:val="00B12EF5"/>
    <w:rPr>
      <w:rFonts w:asciiTheme="minorHAnsi" w:eastAsiaTheme="minorEastAsia" w:hAnsiTheme="minorHAnsi" w:cstheme="minorBidi"/>
      <w:sz w:val="16"/>
      <w:szCs w:val="22"/>
    </w:rPr>
  </w:style>
  <w:style w:type="paragraph" w:styleId="CommentText">
    <w:name w:val="annotation text"/>
    <w:basedOn w:val="Normal"/>
    <w:link w:val="CommentTextChar"/>
    <w:uiPriority w:val="98"/>
    <w:semiHidden/>
    <w:rsid w:val="00B12EF5"/>
    <w:pPr>
      <w:spacing w:line="240" w:lineRule="auto"/>
    </w:pPr>
    <w:rPr>
      <w:sz w:val="20"/>
      <w:szCs w:val="26"/>
    </w:rPr>
  </w:style>
  <w:style w:type="character" w:customStyle="1" w:styleId="CommentTextChar">
    <w:name w:val="Comment Text Char"/>
    <w:basedOn w:val="DefaultParagraphFont"/>
    <w:link w:val="CommentText"/>
    <w:uiPriority w:val="98"/>
    <w:semiHidden/>
    <w:rsid w:val="00B12EF5"/>
    <w:rPr>
      <w:rFonts w:asciiTheme="minorHAnsi" w:eastAsiaTheme="minorEastAsia" w:hAnsiTheme="minorHAnsi" w:cstheme="minorBidi"/>
      <w:sz w:val="20"/>
      <w:szCs w:val="26"/>
    </w:rPr>
  </w:style>
  <w:style w:type="paragraph" w:styleId="CommentSubject">
    <w:name w:val="annotation subject"/>
    <w:basedOn w:val="CommentText"/>
    <w:next w:val="CommentText"/>
    <w:link w:val="CommentSubjectChar"/>
    <w:uiPriority w:val="98"/>
    <w:semiHidden/>
    <w:rsid w:val="00B12EF5"/>
    <w:rPr>
      <w:b/>
      <w:bCs/>
    </w:rPr>
  </w:style>
  <w:style w:type="character" w:customStyle="1" w:styleId="CommentSubjectChar">
    <w:name w:val="Comment Subject Char"/>
    <w:basedOn w:val="CommentTextChar"/>
    <w:link w:val="CommentSubject"/>
    <w:uiPriority w:val="98"/>
    <w:semiHidden/>
    <w:rsid w:val="00B12EF5"/>
    <w:rPr>
      <w:rFonts w:asciiTheme="minorHAnsi" w:eastAsiaTheme="minorEastAsia" w:hAnsiTheme="minorHAnsi" w:cstheme="minorBidi"/>
      <w:b/>
      <w:bCs/>
      <w:sz w:val="20"/>
      <w:szCs w:val="26"/>
    </w:rPr>
  </w:style>
  <w:style w:type="table" w:styleId="DarkList">
    <w:name w:val="Dark List"/>
    <w:basedOn w:val="TableNormal"/>
    <w:uiPriority w:val="98"/>
    <w:semiHidden/>
    <w:rsid w:val="00B12EF5"/>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98"/>
    <w:semiHidden/>
    <w:rsid w:val="00B12EF5"/>
    <w:rPr>
      <w:color w:val="FFFFFF" w:themeColor="background1"/>
    </w:rPr>
    <w:tblPr>
      <w:tblStyleRowBandSize w:val="1"/>
      <w:tblStyleColBandSize w:val="1"/>
    </w:tblPr>
    <w:tcPr>
      <w:shd w:val="clear" w:color="auto" w:fill="DDDDD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E6E6E"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A5A5A5"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A5A5A5" w:themeFill="accent1" w:themeFillShade="BF"/>
      </w:tcPr>
    </w:tblStylePr>
    <w:tblStylePr w:type="band1Vert">
      <w:tblPr/>
      <w:tcPr>
        <w:tcBorders>
          <w:top w:val="nil"/>
          <w:left w:val="nil"/>
          <w:bottom w:val="nil"/>
          <w:right w:val="nil"/>
          <w:insideH w:val="nil"/>
          <w:insideV w:val="nil"/>
        </w:tcBorders>
        <w:shd w:val="clear" w:color="auto" w:fill="A5A5A5" w:themeFill="accent1" w:themeFillShade="BF"/>
      </w:tcPr>
    </w:tblStylePr>
    <w:tblStylePr w:type="band1Horz">
      <w:tblPr/>
      <w:tcPr>
        <w:tcBorders>
          <w:top w:val="nil"/>
          <w:left w:val="nil"/>
          <w:bottom w:val="nil"/>
          <w:right w:val="nil"/>
          <w:insideH w:val="nil"/>
          <w:insideV w:val="nil"/>
        </w:tcBorders>
        <w:shd w:val="clear" w:color="auto" w:fill="A5A5A5" w:themeFill="accent1" w:themeFillShade="BF"/>
      </w:tcPr>
    </w:tblStylePr>
  </w:style>
  <w:style w:type="table" w:styleId="DarkList-Accent2">
    <w:name w:val="Dark List Accent 2"/>
    <w:basedOn w:val="TableNormal"/>
    <w:uiPriority w:val="98"/>
    <w:semiHidden/>
    <w:rsid w:val="00B12EF5"/>
    <w:rPr>
      <w:color w:val="FFFFFF" w:themeColor="background1"/>
    </w:rPr>
    <w:tblPr>
      <w:tblStyleRowBandSize w:val="1"/>
      <w:tblStyleColBandSize w:val="1"/>
    </w:tblPr>
    <w:tcPr>
      <w:shd w:val="clear" w:color="auto" w:fill="B2B2B2"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85858"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858585"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858585" w:themeFill="accent2" w:themeFillShade="BF"/>
      </w:tcPr>
    </w:tblStylePr>
    <w:tblStylePr w:type="band1Vert">
      <w:tblPr/>
      <w:tcPr>
        <w:tcBorders>
          <w:top w:val="nil"/>
          <w:left w:val="nil"/>
          <w:bottom w:val="nil"/>
          <w:right w:val="nil"/>
          <w:insideH w:val="nil"/>
          <w:insideV w:val="nil"/>
        </w:tcBorders>
        <w:shd w:val="clear" w:color="auto" w:fill="858585" w:themeFill="accent2" w:themeFillShade="BF"/>
      </w:tcPr>
    </w:tblStylePr>
    <w:tblStylePr w:type="band1Horz">
      <w:tblPr/>
      <w:tcPr>
        <w:tcBorders>
          <w:top w:val="nil"/>
          <w:left w:val="nil"/>
          <w:bottom w:val="nil"/>
          <w:right w:val="nil"/>
          <w:insideH w:val="nil"/>
          <w:insideV w:val="nil"/>
        </w:tcBorders>
        <w:shd w:val="clear" w:color="auto" w:fill="858585" w:themeFill="accent2" w:themeFillShade="BF"/>
      </w:tcPr>
    </w:tblStylePr>
  </w:style>
  <w:style w:type="table" w:styleId="DarkList-Accent3">
    <w:name w:val="Dark List Accent 3"/>
    <w:basedOn w:val="TableNormal"/>
    <w:uiPriority w:val="98"/>
    <w:semiHidden/>
    <w:rsid w:val="00B12EF5"/>
    <w:rPr>
      <w:color w:val="FFFFFF" w:themeColor="background1"/>
    </w:rPr>
    <w:tblPr>
      <w:tblStyleRowBandSize w:val="1"/>
      <w:tblStyleColBandSize w:val="1"/>
    </w:tblPr>
    <w:tcPr>
      <w:shd w:val="clear" w:color="auto" w:fill="969696"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A4A4A"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07070"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07070" w:themeFill="accent3" w:themeFillShade="BF"/>
      </w:tcPr>
    </w:tblStylePr>
    <w:tblStylePr w:type="band1Vert">
      <w:tblPr/>
      <w:tcPr>
        <w:tcBorders>
          <w:top w:val="nil"/>
          <w:left w:val="nil"/>
          <w:bottom w:val="nil"/>
          <w:right w:val="nil"/>
          <w:insideH w:val="nil"/>
          <w:insideV w:val="nil"/>
        </w:tcBorders>
        <w:shd w:val="clear" w:color="auto" w:fill="707070" w:themeFill="accent3" w:themeFillShade="BF"/>
      </w:tcPr>
    </w:tblStylePr>
    <w:tblStylePr w:type="band1Horz">
      <w:tblPr/>
      <w:tcPr>
        <w:tcBorders>
          <w:top w:val="nil"/>
          <w:left w:val="nil"/>
          <w:bottom w:val="nil"/>
          <w:right w:val="nil"/>
          <w:insideH w:val="nil"/>
          <w:insideV w:val="nil"/>
        </w:tcBorders>
        <w:shd w:val="clear" w:color="auto" w:fill="707070" w:themeFill="accent3" w:themeFillShade="BF"/>
      </w:tcPr>
    </w:tblStylePr>
  </w:style>
  <w:style w:type="table" w:styleId="DarkList-Accent4">
    <w:name w:val="Dark List Accent 4"/>
    <w:basedOn w:val="TableNormal"/>
    <w:uiPriority w:val="98"/>
    <w:semiHidden/>
    <w:rsid w:val="00B12EF5"/>
    <w:rPr>
      <w:color w:val="FFFFFF" w:themeColor="background1"/>
    </w:rPr>
    <w:tblPr>
      <w:tblStyleRowBandSize w:val="1"/>
      <w:tblStyleColBandSize w:val="1"/>
    </w:tblPr>
    <w:tcPr>
      <w:shd w:val="clear" w:color="auto" w:fill="80808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F3F"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5F5F"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5F5F" w:themeFill="accent4" w:themeFillShade="BF"/>
      </w:tcPr>
    </w:tblStylePr>
    <w:tblStylePr w:type="band1Vert">
      <w:tblPr/>
      <w:tcPr>
        <w:tcBorders>
          <w:top w:val="nil"/>
          <w:left w:val="nil"/>
          <w:bottom w:val="nil"/>
          <w:right w:val="nil"/>
          <w:insideH w:val="nil"/>
          <w:insideV w:val="nil"/>
        </w:tcBorders>
        <w:shd w:val="clear" w:color="auto" w:fill="5F5F5F" w:themeFill="accent4" w:themeFillShade="BF"/>
      </w:tcPr>
    </w:tblStylePr>
    <w:tblStylePr w:type="band1Horz">
      <w:tblPr/>
      <w:tcPr>
        <w:tcBorders>
          <w:top w:val="nil"/>
          <w:left w:val="nil"/>
          <w:bottom w:val="nil"/>
          <w:right w:val="nil"/>
          <w:insideH w:val="nil"/>
          <w:insideV w:val="nil"/>
        </w:tcBorders>
        <w:shd w:val="clear" w:color="auto" w:fill="5F5F5F" w:themeFill="accent4" w:themeFillShade="BF"/>
      </w:tcPr>
    </w:tblStylePr>
  </w:style>
  <w:style w:type="table" w:styleId="DarkList-Accent5">
    <w:name w:val="Dark List Accent 5"/>
    <w:basedOn w:val="TableNormal"/>
    <w:uiPriority w:val="98"/>
    <w:semiHidden/>
    <w:rsid w:val="00B12EF5"/>
    <w:rPr>
      <w:color w:val="FFFFFF" w:themeColor="background1"/>
    </w:rPr>
    <w:tblPr>
      <w:tblStyleRowBandSize w:val="1"/>
      <w:tblStyleColBandSize w:val="1"/>
    </w:tblPr>
    <w:tcPr>
      <w:shd w:val="clear" w:color="auto" w:fill="5F5F5F"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F2F2F"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474747"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474747" w:themeFill="accent5" w:themeFillShade="BF"/>
      </w:tcPr>
    </w:tblStylePr>
    <w:tblStylePr w:type="band1Vert">
      <w:tblPr/>
      <w:tcPr>
        <w:tcBorders>
          <w:top w:val="nil"/>
          <w:left w:val="nil"/>
          <w:bottom w:val="nil"/>
          <w:right w:val="nil"/>
          <w:insideH w:val="nil"/>
          <w:insideV w:val="nil"/>
        </w:tcBorders>
        <w:shd w:val="clear" w:color="auto" w:fill="474747" w:themeFill="accent5" w:themeFillShade="BF"/>
      </w:tcPr>
    </w:tblStylePr>
    <w:tblStylePr w:type="band1Horz">
      <w:tblPr/>
      <w:tcPr>
        <w:tcBorders>
          <w:top w:val="nil"/>
          <w:left w:val="nil"/>
          <w:bottom w:val="nil"/>
          <w:right w:val="nil"/>
          <w:insideH w:val="nil"/>
          <w:insideV w:val="nil"/>
        </w:tcBorders>
        <w:shd w:val="clear" w:color="auto" w:fill="474747" w:themeFill="accent5" w:themeFillShade="BF"/>
      </w:tcPr>
    </w:tblStylePr>
  </w:style>
  <w:style w:type="table" w:styleId="DarkList-Accent6">
    <w:name w:val="Dark List Accent 6"/>
    <w:basedOn w:val="TableNormal"/>
    <w:uiPriority w:val="98"/>
    <w:semiHidden/>
    <w:rsid w:val="00B12EF5"/>
    <w:rPr>
      <w:color w:val="FFFFFF" w:themeColor="background1"/>
    </w:rPr>
    <w:tblPr>
      <w:tblStyleRowBandSize w:val="1"/>
      <w:tblStyleColBandSize w:val="1"/>
    </w:tblPr>
    <w:tcPr>
      <w:shd w:val="clear" w:color="auto" w:fill="4D4D4D"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6262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393939"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393939" w:themeFill="accent6" w:themeFillShade="BF"/>
      </w:tcPr>
    </w:tblStylePr>
    <w:tblStylePr w:type="band1Vert">
      <w:tblPr/>
      <w:tcPr>
        <w:tcBorders>
          <w:top w:val="nil"/>
          <w:left w:val="nil"/>
          <w:bottom w:val="nil"/>
          <w:right w:val="nil"/>
          <w:insideH w:val="nil"/>
          <w:insideV w:val="nil"/>
        </w:tcBorders>
        <w:shd w:val="clear" w:color="auto" w:fill="393939" w:themeFill="accent6" w:themeFillShade="BF"/>
      </w:tcPr>
    </w:tblStylePr>
    <w:tblStylePr w:type="band1Horz">
      <w:tblPr/>
      <w:tcPr>
        <w:tcBorders>
          <w:top w:val="nil"/>
          <w:left w:val="nil"/>
          <w:bottom w:val="nil"/>
          <w:right w:val="nil"/>
          <w:insideH w:val="nil"/>
          <w:insideV w:val="nil"/>
        </w:tcBorders>
        <w:shd w:val="clear" w:color="auto" w:fill="393939" w:themeFill="accent6" w:themeFillShade="BF"/>
      </w:tcPr>
    </w:tblStylePr>
  </w:style>
  <w:style w:type="paragraph" w:styleId="Date">
    <w:name w:val="Date"/>
    <w:basedOn w:val="Normal"/>
    <w:next w:val="Normal"/>
    <w:link w:val="DateChar"/>
    <w:uiPriority w:val="98"/>
    <w:semiHidden/>
    <w:rsid w:val="00B12EF5"/>
  </w:style>
  <w:style w:type="character" w:customStyle="1" w:styleId="DateChar">
    <w:name w:val="Date Char"/>
    <w:basedOn w:val="DefaultParagraphFont"/>
    <w:link w:val="Date"/>
    <w:uiPriority w:val="98"/>
    <w:semiHidden/>
    <w:rsid w:val="00B12EF5"/>
    <w:rPr>
      <w:rFonts w:asciiTheme="minorHAnsi" w:eastAsiaTheme="minorEastAsia" w:hAnsiTheme="minorHAnsi" w:cstheme="minorBidi"/>
      <w:szCs w:val="24"/>
    </w:rPr>
  </w:style>
  <w:style w:type="paragraph" w:styleId="DocumentMap">
    <w:name w:val="Document Map"/>
    <w:basedOn w:val="Normal"/>
    <w:link w:val="DocumentMapChar"/>
    <w:uiPriority w:val="98"/>
    <w:semiHidden/>
    <w:rsid w:val="00B12EF5"/>
    <w:pPr>
      <w:spacing w:line="240" w:lineRule="auto"/>
    </w:pPr>
    <w:rPr>
      <w:sz w:val="16"/>
      <w:szCs w:val="22"/>
    </w:rPr>
  </w:style>
  <w:style w:type="character" w:customStyle="1" w:styleId="DocumentMapChar">
    <w:name w:val="Document Map Char"/>
    <w:basedOn w:val="DefaultParagraphFont"/>
    <w:link w:val="DocumentMap"/>
    <w:uiPriority w:val="98"/>
    <w:semiHidden/>
    <w:rsid w:val="00B12EF5"/>
    <w:rPr>
      <w:rFonts w:asciiTheme="minorHAnsi" w:eastAsiaTheme="minorEastAsia" w:hAnsiTheme="minorHAnsi" w:cstheme="minorBidi"/>
      <w:sz w:val="16"/>
      <w:szCs w:val="22"/>
    </w:rPr>
  </w:style>
  <w:style w:type="paragraph" w:styleId="E-mailSignature">
    <w:name w:val="E-mail Signature"/>
    <w:basedOn w:val="Normal"/>
    <w:link w:val="E-mailSignatureChar"/>
    <w:uiPriority w:val="98"/>
    <w:semiHidden/>
    <w:rsid w:val="00B12EF5"/>
    <w:pPr>
      <w:spacing w:line="240" w:lineRule="auto"/>
    </w:pPr>
  </w:style>
  <w:style w:type="character" w:customStyle="1" w:styleId="E-mailSignatureChar">
    <w:name w:val="E-mail Signature Char"/>
    <w:basedOn w:val="DefaultParagraphFont"/>
    <w:link w:val="E-mailSignature"/>
    <w:uiPriority w:val="98"/>
    <w:semiHidden/>
    <w:rsid w:val="00B12EF5"/>
    <w:rPr>
      <w:rFonts w:asciiTheme="minorHAnsi" w:eastAsiaTheme="minorEastAsia" w:hAnsiTheme="minorHAnsi" w:cstheme="minorBidi"/>
      <w:szCs w:val="24"/>
    </w:rPr>
  </w:style>
  <w:style w:type="character" w:styleId="Emphasis">
    <w:name w:val="Emphasis"/>
    <w:basedOn w:val="DefaultParagraphFont"/>
    <w:uiPriority w:val="98"/>
    <w:semiHidden/>
    <w:rsid w:val="00B12EF5"/>
    <w:rPr>
      <w:rFonts w:asciiTheme="minorHAnsi" w:eastAsiaTheme="minorEastAsia" w:hAnsiTheme="minorHAnsi" w:cstheme="minorBidi"/>
      <w:i/>
      <w:iCs/>
      <w:szCs w:val="24"/>
    </w:rPr>
  </w:style>
  <w:style w:type="character" w:styleId="EndnoteReference">
    <w:name w:val="endnote reference"/>
    <w:basedOn w:val="FootnoteReference"/>
    <w:uiPriority w:val="98"/>
    <w:rsid w:val="00B12EF5"/>
    <w:rPr>
      <w:rFonts w:asciiTheme="minorHAnsi" w:eastAsiaTheme="minorEastAsia" w:hAnsiTheme="minorHAnsi" w:cstheme="minorBidi"/>
      <w:sz w:val="14"/>
      <w:szCs w:val="20"/>
      <w:vertAlign w:val="superscript"/>
    </w:rPr>
  </w:style>
  <w:style w:type="paragraph" w:styleId="EndnoteText">
    <w:name w:val="endnote text"/>
    <w:basedOn w:val="FootnoteText"/>
    <w:link w:val="EndnoteTextChar"/>
    <w:uiPriority w:val="98"/>
    <w:rsid w:val="00B96EBF"/>
  </w:style>
  <w:style w:type="character" w:customStyle="1" w:styleId="EndnoteTextChar">
    <w:name w:val="Endnote Text Char"/>
    <w:basedOn w:val="DefaultParagraphFont"/>
    <w:link w:val="EndnoteText"/>
    <w:uiPriority w:val="98"/>
    <w:rsid w:val="00B96EBF"/>
    <w:rPr>
      <w:rFonts w:asciiTheme="minorHAnsi" w:eastAsiaTheme="minorEastAsia" w:hAnsiTheme="minorHAnsi" w:cstheme="minorBidi"/>
      <w:sz w:val="14"/>
      <w:szCs w:val="20"/>
      <w:lang w:eastAsia="zh-CN"/>
    </w:rPr>
  </w:style>
  <w:style w:type="paragraph" w:styleId="EnvelopeAddress">
    <w:name w:val="envelope address"/>
    <w:basedOn w:val="NormalAshurst"/>
    <w:uiPriority w:val="98"/>
    <w:semiHidden/>
    <w:rsid w:val="00881C1F"/>
    <w:pPr>
      <w:framePr w:w="7920" w:h="1980" w:hRule="exact" w:hSpace="180" w:wrap="auto" w:hAnchor="page" w:xAlign="center" w:yAlign="bottom"/>
      <w:spacing w:after="0"/>
      <w:ind w:left="2880"/>
    </w:pPr>
  </w:style>
  <w:style w:type="paragraph" w:styleId="EnvelopeReturn">
    <w:name w:val="envelope return"/>
    <w:basedOn w:val="NormalAshurst"/>
    <w:uiPriority w:val="98"/>
    <w:semiHidden/>
    <w:rsid w:val="00881C1F"/>
    <w:rPr>
      <w:sz w:val="14"/>
      <w:szCs w:val="20"/>
    </w:rPr>
  </w:style>
  <w:style w:type="character" w:styleId="FollowedHyperlink">
    <w:name w:val="FollowedHyperlink"/>
    <w:basedOn w:val="DefaultParagraphFont"/>
    <w:uiPriority w:val="98"/>
    <w:semiHidden/>
    <w:rsid w:val="00B12EF5"/>
    <w:rPr>
      <w:rFonts w:asciiTheme="minorHAnsi" w:eastAsiaTheme="minorEastAsia" w:hAnsiTheme="minorHAnsi" w:cstheme="minorBidi"/>
      <w:color w:val="919191" w:themeColor="followedHyperlink"/>
      <w:szCs w:val="24"/>
      <w:u w:val="single"/>
    </w:rPr>
  </w:style>
  <w:style w:type="paragraph" w:styleId="Footer">
    <w:name w:val="footer"/>
    <w:basedOn w:val="Normal"/>
    <w:link w:val="FooterChar"/>
    <w:uiPriority w:val="98"/>
    <w:rsid w:val="00DB2040"/>
    <w:pPr>
      <w:tabs>
        <w:tab w:val="center" w:pos="4513"/>
        <w:tab w:val="right" w:pos="9026"/>
      </w:tabs>
    </w:pPr>
    <w:rPr>
      <w:sz w:val="14"/>
      <w:szCs w:val="20"/>
    </w:rPr>
  </w:style>
  <w:style w:type="character" w:customStyle="1" w:styleId="FooterChar">
    <w:name w:val="Footer Char"/>
    <w:basedOn w:val="DefaultParagraphFont"/>
    <w:link w:val="Footer"/>
    <w:uiPriority w:val="98"/>
    <w:rsid w:val="00DB2040"/>
    <w:rPr>
      <w:sz w:val="14"/>
      <w:szCs w:val="20"/>
    </w:rPr>
  </w:style>
  <w:style w:type="paragraph" w:styleId="Header">
    <w:name w:val="header"/>
    <w:basedOn w:val="Normal"/>
    <w:link w:val="HeaderChar"/>
    <w:rsid w:val="00B12EF5"/>
    <w:pPr>
      <w:tabs>
        <w:tab w:val="center" w:pos="4513"/>
        <w:tab w:val="right" w:pos="9026"/>
      </w:tabs>
      <w:spacing w:line="240" w:lineRule="auto"/>
    </w:pPr>
  </w:style>
  <w:style w:type="character" w:customStyle="1" w:styleId="HeaderChar">
    <w:name w:val="Header Char"/>
    <w:basedOn w:val="DefaultParagraphFont"/>
    <w:link w:val="Header"/>
    <w:rsid w:val="00B12EF5"/>
    <w:rPr>
      <w:rFonts w:asciiTheme="minorHAnsi" w:eastAsiaTheme="minorEastAsia" w:hAnsiTheme="minorHAnsi" w:cstheme="minorBidi"/>
      <w:szCs w:val="24"/>
    </w:rPr>
  </w:style>
  <w:style w:type="character" w:styleId="HTMLAcronym">
    <w:name w:val="HTML Acronym"/>
    <w:basedOn w:val="DefaultParagraphFont"/>
    <w:uiPriority w:val="98"/>
    <w:semiHidden/>
    <w:rsid w:val="00B12EF5"/>
    <w:rPr>
      <w:rFonts w:asciiTheme="minorHAnsi" w:eastAsiaTheme="minorEastAsia" w:hAnsiTheme="minorHAnsi" w:cstheme="minorBidi"/>
      <w:szCs w:val="24"/>
    </w:rPr>
  </w:style>
  <w:style w:type="paragraph" w:styleId="HTMLAddress">
    <w:name w:val="HTML Address"/>
    <w:basedOn w:val="Normal"/>
    <w:link w:val="HTMLAddressChar"/>
    <w:uiPriority w:val="98"/>
    <w:semiHidden/>
    <w:rsid w:val="00B12EF5"/>
    <w:pPr>
      <w:spacing w:line="240" w:lineRule="auto"/>
    </w:pPr>
    <w:rPr>
      <w:i/>
      <w:iCs/>
    </w:rPr>
  </w:style>
  <w:style w:type="character" w:customStyle="1" w:styleId="HTMLAddressChar">
    <w:name w:val="HTML Address Char"/>
    <w:basedOn w:val="DefaultParagraphFont"/>
    <w:link w:val="HTMLAddress"/>
    <w:uiPriority w:val="98"/>
    <w:semiHidden/>
    <w:rsid w:val="00B12EF5"/>
    <w:rPr>
      <w:rFonts w:asciiTheme="minorHAnsi" w:eastAsiaTheme="minorEastAsia" w:hAnsiTheme="minorHAnsi" w:cstheme="minorBidi"/>
      <w:i/>
      <w:iCs/>
      <w:szCs w:val="24"/>
    </w:rPr>
  </w:style>
  <w:style w:type="character" w:styleId="HTMLCite">
    <w:name w:val="HTML Cite"/>
    <w:basedOn w:val="DefaultParagraphFont"/>
    <w:uiPriority w:val="98"/>
    <w:semiHidden/>
    <w:rsid w:val="00B12EF5"/>
    <w:rPr>
      <w:rFonts w:asciiTheme="minorHAnsi" w:eastAsiaTheme="minorEastAsia" w:hAnsiTheme="minorHAnsi" w:cstheme="minorBidi"/>
      <w:i/>
      <w:iCs/>
      <w:szCs w:val="24"/>
    </w:rPr>
  </w:style>
  <w:style w:type="character" w:styleId="HTMLCode">
    <w:name w:val="HTML Code"/>
    <w:basedOn w:val="DefaultParagraphFont"/>
    <w:uiPriority w:val="98"/>
    <w:semiHidden/>
    <w:rsid w:val="00B12EF5"/>
    <w:rPr>
      <w:rFonts w:asciiTheme="minorHAnsi" w:eastAsiaTheme="minorEastAsia" w:hAnsiTheme="minorHAnsi" w:cstheme="minorBidi"/>
      <w:sz w:val="20"/>
      <w:szCs w:val="26"/>
    </w:rPr>
  </w:style>
  <w:style w:type="character" w:styleId="HTMLDefinition">
    <w:name w:val="HTML Definition"/>
    <w:basedOn w:val="DefaultParagraphFont"/>
    <w:uiPriority w:val="98"/>
    <w:semiHidden/>
    <w:rsid w:val="00B12EF5"/>
    <w:rPr>
      <w:rFonts w:asciiTheme="minorHAnsi" w:eastAsiaTheme="minorEastAsia" w:hAnsiTheme="minorHAnsi" w:cstheme="minorBidi"/>
      <w:i/>
      <w:iCs/>
      <w:szCs w:val="24"/>
    </w:rPr>
  </w:style>
  <w:style w:type="character" w:styleId="HTMLKeyboard">
    <w:name w:val="HTML Keyboard"/>
    <w:basedOn w:val="DefaultParagraphFont"/>
    <w:uiPriority w:val="98"/>
    <w:semiHidden/>
    <w:rsid w:val="00B12EF5"/>
    <w:rPr>
      <w:rFonts w:asciiTheme="minorHAnsi" w:eastAsiaTheme="minorEastAsia" w:hAnsiTheme="minorHAnsi" w:cstheme="minorBidi"/>
      <w:sz w:val="20"/>
      <w:szCs w:val="26"/>
    </w:rPr>
  </w:style>
  <w:style w:type="paragraph" w:styleId="HTMLPreformatted">
    <w:name w:val="HTML Preformatted"/>
    <w:basedOn w:val="Normal"/>
    <w:link w:val="HTMLPreformattedChar"/>
    <w:uiPriority w:val="98"/>
    <w:semiHidden/>
    <w:rsid w:val="00B12EF5"/>
    <w:pPr>
      <w:spacing w:line="240" w:lineRule="auto"/>
    </w:pPr>
    <w:rPr>
      <w:sz w:val="20"/>
      <w:szCs w:val="26"/>
    </w:rPr>
  </w:style>
  <w:style w:type="character" w:customStyle="1" w:styleId="HTMLPreformattedChar">
    <w:name w:val="HTML Preformatted Char"/>
    <w:basedOn w:val="DefaultParagraphFont"/>
    <w:link w:val="HTMLPreformatted"/>
    <w:uiPriority w:val="98"/>
    <w:semiHidden/>
    <w:rsid w:val="00B12EF5"/>
    <w:rPr>
      <w:rFonts w:asciiTheme="minorHAnsi" w:eastAsiaTheme="minorEastAsia" w:hAnsiTheme="minorHAnsi" w:cstheme="minorBidi"/>
      <w:sz w:val="20"/>
      <w:szCs w:val="26"/>
    </w:rPr>
  </w:style>
  <w:style w:type="character" w:styleId="HTMLSample">
    <w:name w:val="HTML Sample"/>
    <w:basedOn w:val="DefaultParagraphFont"/>
    <w:uiPriority w:val="98"/>
    <w:semiHidden/>
    <w:rsid w:val="00B12EF5"/>
    <w:rPr>
      <w:rFonts w:asciiTheme="minorHAnsi" w:eastAsiaTheme="minorEastAsia" w:hAnsiTheme="minorHAnsi" w:cstheme="minorBidi"/>
      <w:sz w:val="24"/>
      <w:szCs w:val="30"/>
    </w:rPr>
  </w:style>
  <w:style w:type="character" w:styleId="HTMLTypewriter">
    <w:name w:val="HTML Typewriter"/>
    <w:basedOn w:val="DefaultParagraphFont"/>
    <w:uiPriority w:val="98"/>
    <w:semiHidden/>
    <w:rsid w:val="00B12EF5"/>
    <w:rPr>
      <w:rFonts w:asciiTheme="minorHAnsi" w:eastAsiaTheme="minorEastAsia" w:hAnsiTheme="minorHAnsi" w:cstheme="minorBidi"/>
      <w:sz w:val="20"/>
      <w:szCs w:val="26"/>
    </w:rPr>
  </w:style>
  <w:style w:type="character" w:styleId="HTMLVariable">
    <w:name w:val="HTML Variable"/>
    <w:basedOn w:val="DefaultParagraphFont"/>
    <w:uiPriority w:val="98"/>
    <w:semiHidden/>
    <w:rsid w:val="00B12EF5"/>
    <w:rPr>
      <w:rFonts w:asciiTheme="minorHAnsi" w:eastAsiaTheme="minorEastAsia" w:hAnsiTheme="minorHAnsi" w:cstheme="minorBidi"/>
      <w:i/>
      <w:iCs/>
      <w:szCs w:val="24"/>
    </w:rPr>
  </w:style>
  <w:style w:type="character" w:styleId="Hyperlink">
    <w:name w:val="Hyperlink"/>
    <w:basedOn w:val="DefaultParagraphFont"/>
    <w:uiPriority w:val="98"/>
    <w:rsid w:val="00B12EF5"/>
    <w:rPr>
      <w:rFonts w:asciiTheme="minorHAnsi" w:eastAsiaTheme="minorEastAsia" w:hAnsiTheme="minorHAnsi" w:cstheme="minorBidi"/>
      <w:color w:val="0000FF" w:themeColor="hyperlink"/>
      <w:szCs w:val="24"/>
      <w:u w:val="single"/>
    </w:rPr>
  </w:style>
  <w:style w:type="paragraph" w:styleId="Index2">
    <w:name w:val="index 2"/>
    <w:basedOn w:val="Normal"/>
    <w:next w:val="Normal"/>
    <w:uiPriority w:val="98"/>
    <w:semiHidden/>
    <w:rsid w:val="00B12EF5"/>
    <w:pPr>
      <w:spacing w:line="240" w:lineRule="auto"/>
      <w:ind w:left="360" w:hanging="180"/>
    </w:pPr>
  </w:style>
  <w:style w:type="paragraph" w:styleId="Index3">
    <w:name w:val="index 3"/>
    <w:basedOn w:val="Normal"/>
    <w:next w:val="Normal"/>
    <w:uiPriority w:val="98"/>
    <w:semiHidden/>
    <w:rsid w:val="00B12EF5"/>
    <w:pPr>
      <w:spacing w:line="240" w:lineRule="auto"/>
      <w:ind w:left="540" w:hanging="180"/>
    </w:pPr>
  </w:style>
  <w:style w:type="paragraph" w:styleId="Index4">
    <w:name w:val="index 4"/>
    <w:basedOn w:val="Normal"/>
    <w:next w:val="Normal"/>
    <w:uiPriority w:val="98"/>
    <w:semiHidden/>
    <w:rsid w:val="00B12EF5"/>
    <w:pPr>
      <w:spacing w:line="240" w:lineRule="auto"/>
      <w:ind w:left="720" w:hanging="180"/>
    </w:pPr>
  </w:style>
  <w:style w:type="paragraph" w:styleId="Index5">
    <w:name w:val="index 5"/>
    <w:basedOn w:val="Normal"/>
    <w:next w:val="Normal"/>
    <w:uiPriority w:val="98"/>
    <w:semiHidden/>
    <w:rsid w:val="00B12EF5"/>
    <w:pPr>
      <w:spacing w:line="240" w:lineRule="auto"/>
      <w:ind w:left="900" w:hanging="180"/>
    </w:pPr>
  </w:style>
  <w:style w:type="paragraph" w:styleId="Index6">
    <w:name w:val="index 6"/>
    <w:basedOn w:val="Normal"/>
    <w:next w:val="Normal"/>
    <w:uiPriority w:val="98"/>
    <w:semiHidden/>
    <w:rsid w:val="00B12EF5"/>
    <w:pPr>
      <w:spacing w:line="240" w:lineRule="auto"/>
      <w:ind w:left="1080" w:hanging="180"/>
    </w:pPr>
  </w:style>
  <w:style w:type="paragraph" w:styleId="Index7">
    <w:name w:val="index 7"/>
    <w:basedOn w:val="Normal"/>
    <w:next w:val="Normal"/>
    <w:uiPriority w:val="98"/>
    <w:semiHidden/>
    <w:rsid w:val="00B12EF5"/>
    <w:pPr>
      <w:spacing w:line="240" w:lineRule="auto"/>
      <w:ind w:left="1260" w:hanging="180"/>
    </w:pPr>
  </w:style>
  <w:style w:type="paragraph" w:styleId="Index8">
    <w:name w:val="index 8"/>
    <w:basedOn w:val="Normal"/>
    <w:next w:val="Normal"/>
    <w:uiPriority w:val="98"/>
    <w:semiHidden/>
    <w:rsid w:val="00B12EF5"/>
    <w:pPr>
      <w:spacing w:line="240" w:lineRule="auto"/>
      <w:ind w:left="1440" w:hanging="180"/>
    </w:pPr>
  </w:style>
  <w:style w:type="paragraph" w:styleId="Index9">
    <w:name w:val="index 9"/>
    <w:basedOn w:val="Normal"/>
    <w:next w:val="Normal"/>
    <w:uiPriority w:val="98"/>
    <w:semiHidden/>
    <w:rsid w:val="00B12EF5"/>
    <w:pPr>
      <w:spacing w:line="240" w:lineRule="auto"/>
      <w:ind w:left="1620" w:hanging="180"/>
    </w:pPr>
  </w:style>
  <w:style w:type="paragraph" w:styleId="IndexHeading">
    <w:name w:val="index heading"/>
    <w:basedOn w:val="Normal"/>
    <w:next w:val="Index1"/>
    <w:uiPriority w:val="98"/>
    <w:semiHidden/>
    <w:rsid w:val="00B12EF5"/>
    <w:rPr>
      <w:b/>
      <w:bCs/>
    </w:rPr>
  </w:style>
  <w:style w:type="character" w:styleId="IntenseEmphasis">
    <w:name w:val="Intense Emphasis"/>
    <w:basedOn w:val="DefaultParagraphFont"/>
    <w:uiPriority w:val="98"/>
    <w:semiHidden/>
    <w:rsid w:val="00B12EF5"/>
    <w:rPr>
      <w:rFonts w:asciiTheme="minorHAnsi" w:eastAsiaTheme="minorEastAsia" w:hAnsiTheme="minorHAnsi" w:cstheme="minorBidi"/>
      <w:b/>
      <w:bCs/>
      <w:i/>
      <w:iCs/>
      <w:color w:val="DDDDDD" w:themeColor="accent1"/>
      <w:szCs w:val="24"/>
    </w:rPr>
  </w:style>
  <w:style w:type="paragraph" w:styleId="IntenseQuote">
    <w:name w:val="Intense Quote"/>
    <w:basedOn w:val="Normal"/>
    <w:next w:val="Normal"/>
    <w:link w:val="IntenseQuoteChar"/>
    <w:uiPriority w:val="98"/>
    <w:semiHidden/>
    <w:rsid w:val="00B12EF5"/>
    <w:pPr>
      <w:pBdr>
        <w:bottom w:val="single" w:sz="4" w:space="4" w:color="DDDDDD" w:themeColor="accent1"/>
      </w:pBdr>
      <w:spacing w:before="200" w:after="280"/>
      <w:ind w:left="936" w:right="936"/>
    </w:pPr>
    <w:rPr>
      <w:b/>
      <w:bCs/>
      <w:i/>
      <w:iCs/>
      <w:color w:val="DDDDDD" w:themeColor="accent1"/>
    </w:rPr>
  </w:style>
  <w:style w:type="character" w:customStyle="1" w:styleId="IntenseQuoteChar">
    <w:name w:val="Intense Quote Char"/>
    <w:basedOn w:val="DefaultParagraphFont"/>
    <w:link w:val="IntenseQuote"/>
    <w:uiPriority w:val="98"/>
    <w:semiHidden/>
    <w:rsid w:val="00B12EF5"/>
    <w:rPr>
      <w:rFonts w:asciiTheme="minorHAnsi" w:eastAsiaTheme="minorEastAsia" w:hAnsiTheme="minorHAnsi" w:cstheme="minorBidi"/>
      <w:b/>
      <w:bCs/>
      <w:i/>
      <w:iCs/>
      <w:color w:val="DDDDDD" w:themeColor="accent1"/>
      <w:szCs w:val="24"/>
    </w:rPr>
  </w:style>
  <w:style w:type="character" w:styleId="IntenseReference">
    <w:name w:val="Intense Reference"/>
    <w:basedOn w:val="DefaultParagraphFont"/>
    <w:uiPriority w:val="98"/>
    <w:semiHidden/>
    <w:rsid w:val="00B12EF5"/>
    <w:rPr>
      <w:rFonts w:asciiTheme="minorHAnsi" w:eastAsiaTheme="minorEastAsia" w:hAnsiTheme="minorHAnsi" w:cstheme="minorBidi"/>
      <w:b/>
      <w:bCs/>
      <w:smallCaps/>
      <w:color w:val="B2B2B2" w:themeColor="accent2"/>
      <w:spacing w:val="5"/>
      <w:szCs w:val="24"/>
      <w:u w:val="single"/>
    </w:rPr>
  </w:style>
  <w:style w:type="table" w:styleId="LightGrid">
    <w:name w:val="Light Grid"/>
    <w:basedOn w:val="TableNormal"/>
    <w:uiPriority w:val="98"/>
    <w:semiHidden/>
    <w:rsid w:val="00B12EF5"/>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98"/>
    <w:semiHidden/>
    <w:rsid w:val="00B12EF5"/>
    <w:tblPr>
      <w:tblStyleRowBandSize w:val="1"/>
      <w:tblStyleColBandSize w:val="1"/>
      <w:tblBorders>
        <w:top w:val="single" w:sz="8" w:space="0" w:color="DDDDDD" w:themeColor="accent1"/>
        <w:left w:val="single" w:sz="8" w:space="0" w:color="DDDDDD" w:themeColor="accent1"/>
        <w:bottom w:val="single" w:sz="8" w:space="0" w:color="DDDDDD" w:themeColor="accent1"/>
        <w:right w:val="single" w:sz="8" w:space="0" w:color="DDDDDD" w:themeColor="accent1"/>
        <w:insideH w:val="single" w:sz="8" w:space="0" w:color="DDDDDD" w:themeColor="accent1"/>
        <w:insideV w:val="single" w:sz="8" w:space="0" w:color="DDDDD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DDDDDD" w:themeColor="accent1"/>
          <w:left w:val="single" w:sz="8" w:space="0" w:color="DDDDDD" w:themeColor="accent1"/>
          <w:bottom w:val="single" w:sz="18" w:space="0" w:color="DDDDDD" w:themeColor="accent1"/>
          <w:right w:val="single" w:sz="8" w:space="0" w:color="DDDDDD" w:themeColor="accent1"/>
          <w:insideH w:val="nil"/>
          <w:insideV w:val="single" w:sz="8" w:space="0" w:color="DDDDD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DDDDDD" w:themeColor="accent1"/>
          <w:left w:val="single" w:sz="8" w:space="0" w:color="DDDDDD" w:themeColor="accent1"/>
          <w:bottom w:val="single" w:sz="8" w:space="0" w:color="DDDDDD" w:themeColor="accent1"/>
          <w:right w:val="single" w:sz="8" w:space="0" w:color="DDDDDD" w:themeColor="accent1"/>
          <w:insideH w:val="nil"/>
          <w:insideV w:val="single" w:sz="8" w:space="0" w:color="DDDDD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DDDDDD" w:themeColor="accent1"/>
          <w:left w:val="single" w:sz="8" w:space="0" w:color="DDDDDD" w:themeColor="accent1"/>
          <w:bottom w:val="single" w:sz="8" w:space="0" w:color="DDDDDD" w:themeColor="accent1"/>
          <w:right w:val="single" w:sz="8" w:space="0" w:color="DDDDDD" w:themeColor="accent1"/>
        </w:tcBorders>
      </w:tcPr>
    </w:tblStylePr>
    <w:tblStylePr w:type="band1Vert">
      <w:tblPr/>
      <w:tcPr>
        <w:tcBorders>
          <w:top w:val="single" w:sz="8" w:space="0" w:color="DDDDDD" w:themeColor="accent1"/>
          <w:left w:val="single" w:sz="8" w:space="0" w:color="DDDDDD" w:themeColor="accent1"/>
          <w:bottom w:val="single" w:sz="8" w:space="0" w:color="DDDDDD" w:themeColor="accent1"/>
          <w:right w:val="single" w:sz="8" w:space="0" w:color="DDDDDD" w:themeColor="accent1"/>
        </w:tcBorders>
        <w:shd w:val="clear" w:color="auto" w:fill="F6F6F6" w:themeFill="accent1" w:themeFillTint="3F"/>
      </w:tcPr>
    </w:tblStylePr>
    <w:tblStylePr w:type="band1Horz">
      <w:tblPr/>
      <w:tcPr>
        <w:tcBorders>
          <w:top w:val="single" w:sz="8" w:space="0" w:color="DDDDDD" w:themeColor="accent1"/>
          <w:left w:val="single" w:sz="8" w:space="0" w:color="DDDDDD" w:themeColor="accent1"/>
          <w:bottom w:val="single" w:sz="8" w:space="0" w:color="DDDDDD" w:themeColor="accent1"/>
          <w:right w:val="single" w:sz="8" w:space="0" w:color="DDDDDD" w:themeColor="accent1"/>
          <w:insideV w:val="single" w:sz="8" w:space="0" w:color="DDDDDD" w:themeColor="accent1"/>
        </w:tcBorders>
        <w:shd w:val="clear" w:color="auto" w:fill="F6F6F6" w:themeFill="accent1" w:themeFillTint="3F"/>
      </w:tcPr>
    </w:tblStylePr>
    <w:tblStylePr w:type="band2Horz">
      <w:tblPr/>
      <w:tcPr>
        <w:tcBorders>
          <w:top w:val="single" w:sz="8" w:space="0" w:color="DDDDDD" w:themeColor="accent1"/>
          <w:left w:val="single" w:sz="8" w:space="0" w:color="DDDDDD" w:themeColor="accent1"/>
          <w:bottom w:val="single" w:sz="8" w:space="0" w:color="DDDDDD" w:themeColor="accent1"/>
          <w:right w:val="single" w:sz="8" w:space="0" w:color="DDDDDD" w:themeColor="accent1"/>
          <w:insideV w:val="single" w:sz="8" w:space="0" w:color="DDDDDD" w:themeColor="accent1"/>
        </w:tcBorders>
      </w:tcPr>
    </w:tblStylePr>
  </w:style>
  <w:style w:type="table" w:styleId="LightGrid-Accent2">
    <w:name w:val="Light Grid Accent 2"/>
    <w:basedOn w:val="TableNormal"/>
    <w:uiPriority w:val="98"/>
    <w:semiHidden/>
    <w:rsid w:val="00B12EF5"/>
    <w:tblPr>
      <w:tblStyleRowBandSize w:val="1"/>
      <w:tblStyleColBandSize w:val="1"/>
      <w:tblBorders>
        <w:top w:val="single" w:sz="8" w:space="0" w:color="B2B2B2" w:themeColor="accent2"/>
        <w:left w:val="single" w:sz="8" w:space="0" w:color="B2B2B2" w:themeColor="accent2"/>
        <w:bottom w:val="single" w:sz="8" w:space="0" w:color="B2B2B2" w:themeColor="accent2"/>
        <w:right w:val="single" w:sz="8" w:space="0" w:color="B2B2B2" w:themeColor="accent2"/>
        <w:insideH w:val="single" w:sz="8" w:space="0" w:color="B2B2B2" w:themeColor="accent2"/>
        <w:insideV w:val="single" w:sz="8" w:space="0" w:color="B2B2B2"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B2B2B2" w:themeColor="accent2"/>
          <w:left w:val="single" w:sz="8" w:space="0" w:color="B2B2B2" w:themeColor="accent2"/>
          <w:bottom w:val="single" w:sz="18" w:space="0" w:color="B2B2B2" w:themeColor="accent2"/>
          <w:right w:val="single" w:sz="8" w:space="0" w:color="B2B2B2" w:themeColor="accent2"/>
          <w:insideH w:val="nil"/>
          <w:insideV w:val="single" w:sz="8" w:space="0" w:color="B2B2B2"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B2B2B2" w:themeColor="accent2"/>
          <w:left w:val="single" w:sz="8" w:space="0" w:color="B2B2B2" w:themeColor="accent2"/>
          <w:bottom w:val="single" w:sz="8" w:space="0" w:color="B2B2B2" w:themeColor="accent2"/>
          <w:right w:val="single" w:sz="8" w:space="0" w:color="B2B2B2" w:themeColor="accent2"/>
          <w:insideH w:val="nil"/>
          <w:insideV w:val="single" w:sz="8" w:space="0" w:color="B2B2B2"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B2B2B2" w:themeColor="accent2"/>
          <w:left w:val="single" w:sz="8" w:space="0" w:color="B2B2B2" w:themeColor="accent2"/>
          <w:bottom w:val="single" w:sz="8" w:space="0" w:color="B2B2B2" w:themeColor="accent2"/>
          <w:right w:val="single" w:sz="8" w:space="0" w:color="B2B2B2" w:themeColor="accent2"/>
        </w:tcBorders>
      </w:tcPr>
    </w:tblStylePr>
    <w:tblStylePr w:type="band1Vert">
      <w:tblPr/>
      <w:tcPr>
        <w:tcBorders>
          <w:top w:val="single" w:sz="8" w:space="0" w:color="B2B2B2" w:themeColor="accent2"/>
          <w:left w:val="single" w:sz="8" w:space="0" w:color="B2B2B2" w:themeColor="accent2"/>
          <w:bottom w:val="single" w:sz="8" w:space="0" w:color="B2B2B2" w:themeColor="accent2"/>
          <w:right w:val="single" w:sz="8" w:space="0" w:color="B2B2B2" w:themeColor="accent2"/>
        </w:tcBorders>
        <w:shd w:val="clear" w:color="auto" w:fill="EBEBEB" w:themeFill="accent2" w:themeFillTint="3F"/>
      </w:tcPr>
    </w:tblStylePr>
    <w:tblStylePr w:type="band1Horz">
      <w:tblPr/>
      <w:tcPr>
        <w:tcBorders>
          <w:top w:val="single" w:sz="8" w:space="0" w:color="B2B2B2" w:themeColor="accent2"/>
          <w:left w:val="single" w:sz="8" w:space="0" w:color="B2B2B2" w:themeColor="accent2"/>
          <w:bottom w:val="single" w:sz="8" w:space="0" w:color="B2B2B2" w:themeColor="accent2"/>
          <w:right w:val="single" w:sz="8" w:space="0" w:color="B2B2B2" w:themeColor="accent2"/>
          <w:insideV w:val="single" w:sz="8" w:space="0" w:color="B2B2B2" w:themeColor="accent2"/>
        </w:tcBorders>
        <w:shd w:val="clear" w:color="auto" w:fill="EBEBEB" w:themeFill="accent2" w:themeFillTint="3F"/>
      </w:tcPr>
    </w:tblStylePr>
    <w:tblStylePr w:type="band2Horz">
      <w:tblPr/>
      <w:tcPr>
        <w:tcBorders>
          <w:top w:val="single" w:sz="8" w:space="0" w:color="B2B2B2" w:themeColor="accent2"/>
          <w:left w:val="single" w:sz="8" w:space="0" w:color="B2B2B2" w:themeColor="accent2"/>
          <w:bottom w:val="single" w:sz="8" w:space="0" w:color="B2B2B2" w:themeColor="accent2"/>
          <w:right w:val="single" w:sz="8" w:space="0" w:color="B2B2B2" w:themeColor="accent2"/>
          <w:insideV w:val="single" w:sz="8" w:space="0" w:color="B2B2B2" w:themeColor="accent2"/>
        </w:tcBorders>
      </w:tcPr>
    </w:tblStylePr>
  </w:style>
  <w:style w:type="table" w:styleId="LightGrid-Accent3">
    <w:name w:val="Light Grid Accent 3"/>
    <w:basedOn w:val="TableNormal"/>
    <w:uiPriority w:val="98"/>
    <w:semiHidden/>
    <w:rsid w:val="00B12EF5"/>
    <w:tblPr>
      <w:tblStyleRowBandSize w:val="1"/>
      <w:tblStyleColBandSize w:val="1"/>
      <w:tblBorders>
        <w:top w:val="single" w:sz="8" w:space="0" w:color="969696" w:themeColor="accent3"/>
        <w:left w:val="single" w:sz="8" w:space="0" w:color="969696" w:themeColor="accent3"/>
        <w:bottom w:val="single" w:sz="8" w:space="0" w:color="969696" w:themeColor="accent3"/>
        <w:right w:val="single" w:sz="8" w:space="0" w:color="969696" w:themeColor="accent3"/>
        <w:insideH w:val="single" w:sz="8" w:space="0" w:color="969696" w:themeColor="accent3"/>
        <w:insideV w:val="single" w:sz="8" w:space="0" w:color="969696"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69696" w:themeColor="accent3"/>
          <w:left w:val="single" w:sz="8" w:space="0" w:color="969696" w:themeColor="accent3"/>
          <w:bottom w:val="single" w:sz="18" w:space="0" w:color="969696" w:themeColor="accent3"/>
          <w:right w:val="single" w:sz="8" w:space="0" w:color="969696" w:themeColor="accent3"/>
          <w:insideH w:val="nil"/>
          <w:insideV w:val="single" w:sz="8" w:space="0" w:color="969696"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69696" w:themeColor="accent3"/>
          <w:left w:val="single" w:sz="8" w:space="0" w:color="969696" w:themeColor="accent3"/>
          <w:bottom w:val="single" w:sz="8" w:space="0" w:color="969696" w:themeColor="accent3"/>
          <w:right w:val="single" w:sz="8" w:space="0" w:color="969696" w:themeColor="accent3"/>
          <w:insideH w:val="nil"/>
          <w:insideV w:val="single" w:sz="8" w:space="0" w:color="969696"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69696" w:themeColor="accent3"/>
          <w:left w:val="single" w:sz="8" w:space="0" w:color="969696" w:themeColor="accent3"/>
          <w:bottom w:val="single" w:sz="8" w:space="0" w:color="969696" w:themeColor="accent3"/>
          <w:right w:val="single" w:sz="8" w:space="0" w:color="969696" w:themeColor="accent3"/>
        </w:tcBorders>
      </w:tcPr>
    </w:tblStylePr>
    <w:tblStylePr w:type="band1Vert">
      <w:tblPr/>
      <w:tcPr>
        <w:tcBorders>
          <w:top w:val="single" w:sz="8" w:space="0" w:color="969696" w:themeColor="accent3"/>
          <w:left w:val="single" w:sz="8" w:space="0" w:color="969696" w:themeColor="accent3"/>
          <w:bottom w:val="single" w:sz="8" w:space="0" w:color="969696" w:themeColor="accent3"/>
          <w:right w:val="single" w:sz="8" w:space="0" w:color="969696" w:themeColor="accent3"/>
        </w:tcBorders>
        <w:shd w:val="clear" w:color="auto" w:fill="E5E5E5" w:themeFill="accent3" w:themeFillTint="3F"/>
      </w:tcPr>
    </w:tblStylePr>
    <w:tblStylePr w:type="band1Horz">
      <w:tblPr/>
      <w:tcPr>
        <w:tcBorders>
          <w:top w:val="single" w:sz="8" w:space="0" w:color="969696" w:themeColor="accent3"/>
          <w:left w:val="single" w:sz="8" w:space="0" w:color="969696" w:themeColor="accent3"/>
          <w:bottom w:val="single" w:sz="8" w:space="0" w:color="969696" w:themeColor="accent3"/>
          <w:right w:val="single" w:sz="8" w:space="0" w:color="969696" w:themeColor="accent3"/>
          <w:insideV w:val="single" w:sz="8" w:space="0" w:color="969696" w:themeColor="accent3"/>
        </w:tcBorders>
        <w:shd w:val="clear" w:color="auto" w:fill="E5E5E5" w:themeFill="accent3" w:themeFillTint="3F"/>
      </w:tcPr>
    </w:tblStylePr>
    <w:tblStylePr w:type="band2Horz">
      <w:tblPr/>
      <w:tcPr>
        <w:tcBorders>
          <w:top w:val="single" w:sz="8" w:space="0" w:color="969696" w:themeColor="accent3"/>
          <w:left w:val="single" w:sz="8" w:space="0" w:color="969696" w:themeColor="accent3"/>
          <w:bottom w:val="single" w:sz="8" w:space="0" w:color="969696" w:themeColor="accent3"/>
          <w:right w:val="single" w:sz="8" w:space="0" w:color="969696" w:themeColor="accent3"/>
          <w:insideV w:val="single" w:sz="8" w:space="0" w:color="969696" w:themeColor="accent3"/>
        </w:tcBorders>
      </w:tcPr>
    </w:tblStylePr>
  </w:style>
  <w:style w:type="table" w:styleId="LightGrid-Accent4">
    <w:name w:val="Light Grid Accent 4"/>
    <w:basedOn w:val="TableNormal"/>
    <w:uiPriority w:val="98"/>
    <w:semiHidden/>
    <w:rsid w:val="00B12EF5"/>
    <w:tblPr>
      <w:tblStyleRowBandSize w:val="1"/>
      <w:tblStyleColBandSize w:val="1"/>
      <w:tblBorders>
        <w:top w:val="single" w:sz="8" w:space="0" w:color="808080" w:themeColor="accent4"/>
        <w:left w:val="single" w:sz="8" w:space="0" w:color="808080" w:themeColor="accent4"/>
        <w:bottom w:val="single" w:sz="8" w:space="0" w:color="808080" w:themeColor="accent4"/>
        <w:right w:val="single" w:sz="8" w:space="0" w:color="808080" w:themeColor="accent4"/>
        <w:insideH w:val="single" w:sz="8" w:space="0" w:color="808080" w:themeColor="accent4"/>
        <w:insideV w:val="single" w:sz="8" w:space="0" w:color="80808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8080" w:themeColor="accent4"/>
          <w:left w:val="single" w:sz="8" w:space="0" w:color="808080" w:themeColor="accent4"/>
          <w:bottom w:val="single" w:sz="18" w:space="0" w:color="808080" w:themeColor="accent4"/>
          <w:right w:val="single" w:sz="8" w:space="0" w:color="808080" w:themeColor="accent4"/>
          <w:insideH w:val="nil"/>
          <w:insideV w:val="single" w:sz="8" w:space="0" w:color="80808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8080" w:themeColor="accent4"/>
          <w:left w:val="single" w:sz="8" w:space="0" w:color="808080" w:themeColor="accent4"/>
          <w:bottom w:val="single" w:sz="8" w:space="0" w:color="808080" w:themeColor="accent4"/>
          <w:right w:val="single" w:sz="8" w:space="0" w:color="808080" w:themeColor="accent4"/>
          <w:insideH w:val="nil"/>
          <w:insideV w:val="single" w:sz="8" w:space="0" w:color="80808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8080" w:themeColor="accent4"/>
          <w:left w:val="single" w:sz="8" w:space="0" w:color="808080" w:themeColor="accent4"/>
          <w:bottom w:val="single" w:sz="8" w:space="0" w:color="808080" w:themeColor="accent4"/>
          <w:right w:val="single" w:sz="8" w:space="0" w:color="808080" w:themeColor="accent4"/>
        </w:tcBorders>
      </w:tcPr>
    </w:tblStylePr>
    <w:tblStylePr w:type="band1Vert">
      <w:tblPr/>
      <w:tcPr>
        <w:tcBorders>
          <w:top w:val="single" w:sz="8" w:space="0" w:color="808080" w:themeColor="accent4"/>
          <w:left w:val="single" w:sz="8" w:space="0" w:color="808080" w:themeColor="accent4"/>
          <w:bottom w:val="single" w:sz="8" w:space="0" w:color="808080" w:themeColor="accent4"/>
          <w:right w:val="single" w:sz="8" w:space="0" w:color="808080" w:themeColor="accent4"/>
        </w:tcBorders>
        <w:shd w:val="clear" w:color="auto" w:fill="DFDFDF" w:themeFill="accent4" w:themeFillTint="3F"/>
      </w:tcPr>
    </w:tblStylePr>
    <w:tblStylePr w:type="band1Horz">
      <w:tblPr/>
      <w:tcPr>
        <w:tcBorders>
          <w:top w:val="single" w:sz="8" w:space="0" w:color="808080" w:themeColor="accent4"/>
          <w:left w:val="single" w:sz="8" w:space="0" w:color="808080" w:themeColor="accent4"/>
          <w:bottom w:val="single" w:sz="8" w:space="0" w:color="808080" w:themeColor="accent4"/>
          <w:right w:val="single" w:sz="8" w:space="0" w:color="808080" w:themeColor="accent4"/>
          <w:insideV w:val="single" w:sz="8" w:space="0" w:color="808080" w:themeColor="accent4"/>
        </w:tcBorders>
        <w:shd w:val="clear" w:color="auto" w:fill="DFDFDF" w:themeFill="accent4" w:themeFillTint="3F"/>
      </w:tcPr>
    </w:tblStylePr>
    <w:tblStylePr w:type="band2Horz">
      <w:tblPr/>
      <w:tcPr>
        <w:tcBorders>
          <w:top w:val="single" w:sz="8" w:space="0" w:color="808080" w:themeColor="accent4"/>
          <w:left w:val="single" w:sz="8" w:space="0" w:color="808080" w:themeColor="accent4"/>
          <w:bottom w:val="single" w:sz="8" w:space="0" w:color="808080" w:themeColor="accent4"/>
          <w:right w:val="single" w:sz="8" w:space="0" w:color="808080" w:themeColor="accent4"/>
          <w:insideV w:val="single" w:sz="8" w:space="0" w:color="808080" w:themeColor="accent4"/>
        </w:tcBorders>
      </w:tcPr>
    </w:tblStylePr>
  </w:style>
  <w:style w:type="table" w:styleId="LightGrid-Accent5">
    <w:name w:val="Light Grid Accent 5"/>
    <w:basedOn w:val="TableNormal"/>
    <w:uiPriority w:val="98"/>
    <w:semiHidden/>
    <w:rsid w:val="00B12EF5"/>
    <w:tblPr>
      <w:tblStyleRowBandSize w:val="1"/>
      <w:tblStyleColBandSize w:val="1"/>
      <w:tblBorders>
        <w:top w:val="single" w:sz="8" w:space="0" w:color="5F5F5F" w:themeColor="accent5"/>
        <w:left w:val="single" w:sz="8" w:space="0" w:color="5F5F5F" w:themeColor="accent5"/>
        <w:bottom w:val="single" w:sz="8" w:space="0" w:color="5F5F5F" w:themeColor="accent5"/>
        <w:right w:val="single" w:sz="8" w:space="0" w:color="5F5F5F" w:themeColor="accent5"/>
        <w:insideH w:val="single" w:sz="8" w:space="0" w:color="5F5F5F" w:themeColor="accent5"/>
        <w:insideV w:val="single" w:sz="8" w:space="0" w:color="5F5F5F"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F5F5F" w:themeColor="accent5"/>
          <w:left w:val="single" w:sz="8" w:space="0" w:color="5F5F5F" w:themeColor="accent5"/>
          <w:bottom w:val="single" w:sz="18" w:space="0" w:color="5F5F5F" w:themeColor="accent5"/>
          <w:right w:val="single" w:sz="8" w:space="0" w:color="5F5F5F" w:themeColor="accent5"/>
          <w:insideH w:val="nil"/>
          <w:insideV w:val="single" w:sz="8" w:space="0" w:color="5F5F5F"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F5F5F" w:themeColor="accent5"/>
          <w:left w:val="single" w:sz="8" w:space="0" w:color="5F5F5F" w:themeColor="accent5"/>
          <w:bottom w:val="single" w:sz="8" w:space="0" w:color="5F5F5F" w:themeColor="accent5"/>
          <w:right w:val="single" w:sz="8" w:space="0" w:color="5F5F5F" w:themeColor="accent5"/>
          <w:insideH w:val="nil"/>
          <w:insideV w:val="single" w:sz="8" w:space="0" w:color="5F5F5F"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F5F5F" w:themeColor="accent5"/>
          <w:left w:val="single" w:sz="8" w:space="0" w:color="5F5F5F" w:themeColor="accent5"/>
          <w:bottom w:val="single" w:sz="8" w:space="0" w:color="5F5F5F" w:themeColor="accent5"/>
          <w:right w:val="single" w:sz="8" w:space="0" w:color="5F5F5F" w:themeColor="accent5"/>
        </w:tcBorders>
      </w:tcPr>
    </w:tblStylePr>
    <w:tblStylePr w:type="band1Vert">
      <w:tblPr/>
      <w:tcPr>
        <w:tcBorders>
          <w:top w:val="single" w:sz="8" w:space="0" w:color="5F5F5F" w:themeColor="accent5"/>
          <w:left w:val="single" w:sz="8" w:space="0" w:color="5F5F5F" w:themeColor="accent5"/>
          <w:bottom w:val="single" w:sz="8" w:space="0" w:color="5F5F5F" w:themeColor="accent5"/>
          <w:right w:val="single" w:sz="8" w:space="0" w:color="5F5F5F" w:themeColor="accent5"/>
        </w:tcBorders>
        <w:shd w:val="clear" w:color="auto" w:fill="D7D7D7" w:themeFill="accent5" w:themeFillTint="3F"/>
      </w:tcPr>
    </w:tblStylePr>
    <w:tblStylePr w:type="band1Horz">
      <w:tblPr/>
      <w:tcPr>
        <w:tcBorders>
          <w:top w:val="single" w:sz="8" w:space="0" w:color="5F5F5F" w:themeColor="accent5"/>
          <w:left w:val="single" w:sz="8" w:space="0" w:color="5F5F5F" w:themeColor="accent5"/>
          <w:bottom w:val="single" w:sz="8" w:space="0" w:color="5F5F5F" w:themeColor="accent5"/>
          <w:right w:val="single" w:sz="8" w:space="0" w:color="5F5F5F" w:themeColor="accent5"/>
          <w:insideV w:val="single" w:sz="8" w:space="0" w:color="5F5F5F" w:themeColor="accent5"/>
        </w:tcBorders>
        <w:shd w:val="clear" w:color="auto" w:fill="D7D7D7" w:themeFill="accent5" w:themeFillTint="3F"/>
      </w:tcPr>
    </w:tblStylePr>
    <w:tblStylePr w:type="band2Horz">
      <w:tblPr/>
      <w:tcPr>
        <w:tcBorders>
          <w:top w:val="single" w:sz="8" w:space="0" w:color="5F5F5F" w:themeColor="accent5"/>
          <w:left w:val="single" w:sz="8" w:space="0" w:color="5F5F5F" w:themeColor="accent5"/>
          <w:bottom w:val="single" w:sz="8" w:space="0" w:color="5F5F5F" w:themeColor="accent5"/>
          <w:right w:val="single" w:sz="8" w:space="0" w:color="5F5F5F" w:themeColor="accent5"/>
          <w:insideV w:val="single" w:sz="8" w:space="0" w:color="5F5F5F" w:themeColor="accent5"/>
        </w:tcBorders>
      </w:tcPr>
    </w:tblStylePr>
  </w:style>
  <w:style w:type="table" w:styleId="LightGrid-Accent6">
    <w:name w:val="Light Grid Accent 6"/>
    <w:basedOn w:val="TableNormal"/>
    <w:uiPriority w:val="98"/>
    <w:semiHidden/>
    <w:rsid w:val="00B12EF5"/>
    <w:tblPr>
      <w:tblStyleRowBandSize w:val="1"/>
      <w:tblStyleColBandSize w:val="1"/>
      <w:tblBorders>
        <w:top w:val="single" w:sz="8" w:space="0" w:color="4D4D4D" w:themeColor="accent6"/>
        <w:left w:val="single" w:sz="8" w:space="0" w:color="4D4D4D" w:themeColor="accent6"/>
        <w:bottom w:val="single" w:sz="8" w:space="0" w:color="4D4D4D" w:themeColor="accent6"/>
        <w:right w:val="single" w:sz="8" w:space="0" w:color="4D4D4D" w:themeColor="accent6"/>
        <w:insideH w:val="single" w:sz="8" w:space="0" w:color="4D4D4D" w:themeColor="accent6"/>
        <w:insideV w:val="single" w:sz="8" w:space="0" w:color="4D4D4D"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D4D4D" w:themeColor="accent6"/>
          <w:left w:val="single" w:sz="8" w:space="0" w:color="4D4D4D" w:themeColor="accent6"/>
          <w:bottom w:val="single" w:sz="18" w:space="0" w:color="4D4D4D" w:themeColor="accent6"/>
          <w:right w:val="single" w:sz="8" w:space="0" w:color="4D4D4D" w:themeColor="accent6"/>
          <w:insideH w:val="nil"/>
          <w:insideV w:val="single" w:sz="8" w:space="0" w:color="4D4D4D"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D4D4D" w:themeColor="accent6"/>
          <w:left w:val="single" w:sz="8" w:space="0" w:color="4D4D4D" w:themeColor="accent6"/>
          <w:bottom w:val="single" w:sz="8" w:space="0" w:color="4D4D4D" w:themeColor="accent6"/>
          <w:right w:val="single" w:sz="8" w:space="0" w:color="4D4D4D" w:themeColor="accent6"/>
          <w:insideH w:val="nil"/>
          <w:insideV w:val="single" w:sz="8" w:space="0" w:color="4D4D4D"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D4D4D" w:themeColor="accent6"/>
          <w:left w:val="single" w:sz="8" w:space="0" w:color="4D4D4D" w:themeColor="accent6"/>
          <w:bottom w:val="single" w:sz="8" w:space="0" w:color="4D4D4D" w:themeColor="accent6"/>
          <w:right w:val="single" w:sz="8" w:space="0" w:color="4D4D4D" w:themeColor="accent6"/>
        </w:tcBorders>
      </w:tcPr>
    </w:tblStylePr>
    <w:tblStylePr w:type="band1Vert">
      <w:tblPr/>
      <w:tcPr>
        <w:tcBorders>
          <w:top w:val="single" w:sz="8" w:space="0" w:color="4D4D4D" w:themeColor="accent6"/>
          <w:left w:val="single" w:sz="8" w:space="0" w:color="4D4D4D" w:themeColor="accent6"/>
          <w:bottom w:val="single" w:sz="8" w:space="0" w:color="4D4D4D" w:themeColor="accent6"/>
          <w:right w:val="single" w:sz="8" w:space="0" w:color="4D4D4D" w:themeColor="accent6"/>
        </w:tcBorders>
        <w:shd w:val="clear" w:color="auto" w:fill="D3D3D3" w:themeFill="accent6" w:themeFillTint="3F"/>
      </w:tcPr>
    </w:tblStylePr>
    <w:tblStylePr w:type="band1Horz">
      <w:tblPr/>
      <w:tcPr>
        <w:tcBorders>
          <w:top w:val="single" w:sz="8" w:space="0" w:color="4D4D4D" w:themeColor="accent6"/>
          <w:left w:val="single" w:sz="8" w:space="0" w:color="4D4D4D" w:themeColor="accent6"/>
          <w:bottom w:val="single" w:sz="8" w:space="0" w:color="4D4D4D" w:themeColor="accent6"/>
          <w:right w:val="single" w:sz="8" w:space="0" w:color="4D4D4D" w:themeColor="accent6"/>
          <w:insideV w:val="single" w:sz="8" w:space="0" w:color="4D4D4D" w:themeColor="accent6"/>
        </w:tcBorders>
        <w:shd w:val="clear" w:color="auto" w:fill="D3D3D3" w:themeFill="accent6" w:themeFillTint="3F"/>
      </w:tcPr>
    </w:tblStylePr>
    <w:tblStylePr w:type="band2Horz">
      <w:tblPr/>
      <w:tcPr>
        <w:tcBorders>
          <w:top w:val="single" w:sz="8" w:space="0" w:color="4D4D4D" w:themeColor="accent6"/>
          <w:left w:val="single" w:sz="8" w:space="0" w:color="4D4D4D" w:themeColor="accent6"/>
          <w:bottom w:val="single" w:sz="8" w:space="0" w:color="4D4D4D" w:themeColor="accent6"/>
          <w:right w:val="single" w:sz="8" w:space="0" w:color="4D4D4D" w:themeColor="accent6"/>
          <w:insideV w:val="single" w:sz="8" w:space="0" w:color="4D4D4D" w:themeColor="accent6"/>
        </w:tcBorders>
      </w:tcPr>
    </w:tblStylePr>
  </w:style>
  <w:style w:type="table" w:styleId="LightList">
    <w:name w:val="Light List"/>
    <w:basedOn w:val="TableNormal"/>
    <w:uiPriority w:val="98"/>
    <w:semiHidden/>
    <w:rsid w:val="00B12EF5"/>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98"/>
    <w:semiHidden/>
    <w:rsid w:val="00B12EF5"/>
    <w:tblPr>
      <w:tblStyleRowBandSize w:val="1"/>
      <w:tblStyleColBandSize w:val="1"/>
      <w:tblBorders>
        <w:top w:val="single" w:sz="8" w:space="0" w:color="DDDDDD" w:themeColor="accent1"/>
        <w:left w:val="single" w:sz="8" w:space="0" w:color="DDDDDD" w:themeColor="accent1"/>
        <w:bottom w:val="single" w:sz="8" w:space="0" w:color="DDDDDD" w:themeColor="accent1"/>
        <w:right w:val="single" w:sz="8" w:space="0" w:color="DDDDDD" w:themeColor="accent1"/>
      </w:tblBorders>
    </w:tblPr>
    <w:tblStylePr w:type="firstRow">
      <w:pPr>
        <w:spacing w:before="0" w:after="0" w:line="240" w:lineRule="auto"/>
      </w:pPr>
      <w:rPr>
        <w:b/>
        <w:bCs/>
        <w:color w:val="FFFFFF" w:themeColor="background1"/>
      </w:rPr>
      <w:tblPr/>
      <w:tcPr>
        <w:shd w:val="clear" w:color="auto" w:fill="DDDDDD" w:themeFill="accent1"/>
      </w:tcPr>
    </w:tblStylePr>
    <w:tblStylePr w:type="lastRow">
      <w:pPr>
        <w:spacing w:before="0" w:after="0" w:line="240" w:lineRule="auto"/>
      </w:pPr>
      <w:rPr>
        <w:b/>
        <w:bCs/>
      </w:rPr>
      <w:tblPr/>
      <w:tcPr>
        <w:tcBorders>
          <w:top w:val="double" w:sz="6" w:space="0" w:color="DDDDDD" w:themeColor="accent1"/>
          <w:left w:val="single" w:sz="8" w:space="0" w:color="DDDDDD" w:themeColor="accent1"/>
          <w:bottom w:val="single" w:sz="8" w:space="0" w:color="DDDDDD" w:themeColor="accent1"/>
          <w:right w:val="single" w:sz="8" w:space="0" w:color="DDDDDD" w:themeColor="accent1"/>
        </w:tcBorders>
      </w:tcPr>
    </w:tblStylePr>
    <w:tblStylePr w:type="firstCol">
      <w:rPr>
        <w:b/>
        <w:bCs/>
      </w:rPr>
    </w:tblStylePr>
    <w:tblStylePr w:type="lastCol">
      <w:rPr>
        <w:b/>
        <w:bCs/>
      </w:rPr>
    </w:tblStylePr>
    <w:tblStylePr w:type="band1Vert">
      <w:tblPr/>
      <w:tcPr>
        <w:tcBorders>
          <w:top w:val="single" w:sz="8" w:space="0" w:color="DDDDDD" w:themeColor="accent1"/>
          <w:left w:val="single" w:sz="8" w:space="0" w:color="DDDDDD" w:themeColor="accent1"/>
          <w:bottom w:val="single" w:sz="8" w:space="0" w:color="DDDDDD" w:themeColor="accent1"/>
          <w:right w:val="single" w:sz="8" w:space="0" w:color="DDDDDD" w:themeColor="accent1"/>
        </w:tcBorders>
      </w:tcPr>
    </w:tblStylePr>
    <w:tblStylePr w:type="band1Horz">
      <w:tblPr/>
      <w:tcPr>
        <w:tcBorders>
          <w:top w:val="single" w:sz="8" w:space="0" w:color="DDDDDD" w:themeColor="accent1"/>
          <w:left w:val="single" w:sz="8" w:space="0" w:color="DDDDDD" w:themeColor="accent1"/>
          <w:bottom w:val="single" w:sz="8" w:space="0" w:color="DDDDDD" w:themeColor="accent1"/>
          <w:right w:val="single" w:sz="8" w:space="0" w:color="DDDDDD" w:themeColor="accent1"/>
        </w:tcBorders>
      </w:tcPr>
    </w:tblStylePr>
  </w:style>
  <w:style w:type="table" w:styleId="LightList-Accent2">
    <w:name w:val="Light List Accent 2"/>
    <w:basedOn w:val="TableNormal"/>
    <w:uiPriority w:val="98"/>
    <w:semiHidden/>
    <w:rsid w:val="00B12EF5"/>
    <w:tblPr>
      <w:tblStyleRowBandSize w:val="1"/>
      <w:tblStyleColBandSize w:val="1"/>
      <w:tblBorders>
        <w:top w:val="single" w:sz="8" w:space="0" w:color="B2B2B2" w:themeColor="accent2"/>
        <w:left w:val="single" w:sz="8" w:space="0" w:color="B2B2B2" w:themeColor="accent2"/>
        <w:bottom w:val="single" w:sz="8" w:space="0" w:color="B2B2B2" w:themeColor="accent2"/>
        <w:right w:val="single" w:sz="8" w:space="0" w:color="B2B2B2" w:themeColor="accent2"/>
      </w:tblBorders>
    </w:tblPr>
    <w:tblStylePr w:type="firstRow">
      <w:pPr>
        <w:spacing w:before="0" w:after="0" w:line="240" w:lineRule="auto"/>
      </w:pPr>
      <w:rPr>
        <w:b/>
        <w:bCs/>
        <w:color w:val="FFFFFF" w:themeColor="background1"/>
      </w:rPr>
      <w:tblPr/>
      <w:tcPr>
        <w:shd w:val="clear" w:color="auto" w:fill="B2B2B2" w:themeFill="accent2"/>
      </w:tcPr>
    </w:tblStylePr>
    <w:tblStylePr w:type="lastRow">
      <w:pPr>
        <w:spacing w:before="0" w:after="0" w:line="240" w:lineRule="auto"/>
      </w:pPr>
      <w:rPr>
        <w:b/>
        <w:bCs/>
      </w:rPr>
      <w:tblPr/>
      <w:tcPr>
        <w:tcBorders>
          <w:top w:val="double" w:sz="6" w:space="0" w:color="B2B2B2" w:themeColor="accent2"/>
          <w:left w:val="single" w:sz="8" w:space="0" w:color="B2B2B2" w:themeColor="accent2"/>
          <w:bottom w:val="single" w:sz="8" w:space="0" w:color="B2B2B2" w:themeColor="accent2"/>
          <w:right w:val="single" w:sz="8" w:space="0" w:color="B2B2B2" w:themeColor="accent2"/>
        </w:tcBorders>
      </w:tcPr>
    </w:tblStylePr>
    <w:tblStylePr w:type="firstCol">
      <w:rPr>
        <w:b/>
        <w:bCs/>
      </w:rPr>
    </w:tblStylePr>
    <w:tblStylePr w:type="lastCol">
      <w:rPr>
        <w:b/>
        <w:bCs/>
      </w:rPr>
    </w:tblStylePr>
    <w:tblStylePr w:type="band1Vert">
      <w:tblPr/>
      <w:tcPr>
        <w:tcBorders>
          <w:top w:val="single" w:sz="8" w:space="0" w:color="B2B2B2" w:themeColor="accent2"/>
          <w:left w:val="single" w:sz="8" w:space="0" w:color="B2B2B2" w:themeColor="accent2"/>
          <w:bottom w:val="single" w:sz="8" w:space="0" w:color="B2B2B2" w:themeColor="accent2"/>
          <w:right w:val="single" w:sz="8" w:space="0" w:color="B2B2B2" w:themeColor="accent2"/>
        </w:tcBorders>
      </w:tcPr>
    </w:tblStylePr>
    <w:tblStylePr w:type="band1Horz">
      <w:tblPr/>
      <w:tcPr>
        <w:tcBorders>
          <w:top w:val="single" w:sz="8" w:space="0" w:color="B2B2B2" w:themeColor="accent2"/>
          <w:left w:val="single" w:sz="8" w:space="0" w:color="B2B2B2" w:themeColor="accent2"/>
          <w:bottom w:val="single" w:sz="8" w:space="0" w:color="B2B2B2" w:themeColor="accent2"/>
          <w:right w:val="single" w:sz="8" w:space="0" w:color="B2B2B2" w:themeColor="accent2"/>
        </w:tcBorders>
      </w:tcPr>
    </w:tblStylePr>
  </w:style>
  <w:style w:type="table" w:styleId="LightList-Accent3">
    <w:name w:val="Light List Accent 3"/>
    <w:basedOn w:val="TableNormal"/>
    <w:uiPriority w:val="98"/>
    <w:semiHidden/>
    <w:rsid w:val="00B12EF5"/>
    <w:tblPr>
      <w:tblStyleRowBandSize w:val="1"/>
      <w:tblStyleColBandSize w:val="1"/>
      <w:tblBorders>
        <w:top w:val="single" w:sz="8" w:space="0" w:color="969696" w:themeColor="accent3"/>
        <w:left w:val="single" w:sz="8" w:space="0" w:color="969696" w:themeColor="accent3"/>
        <w:bottom w:val="single" w:sz="8" w:space="0" w:color="969696" w:themeColor="accent3"/>
        <w:right w:val="single" w:sz="8" w:space="0" w:color="969696" w:themeColor="accent3"/>
      </w:tblBorders>
    </w:tblPr>
    <w:tblStylePr w:type="firstRow">
      <w:pPr>
        <w:spacing w:before="0" w:after="0" w:line="240" w:lineRule="auto"/>
      </w:pPr>
      <w:rPr>
        <w:b/>
        <w:bCs/>
        <w:color w:val="FFFFFF" w:themeColor="background1"/>
      </w:rPr>
      <w:tblPr/>
      <w:tcPr>
        <w:shd w:val="clear" w:color="auto" w:fill="969696" w:themeFill="accent3"/>
      </w:tcPr>
    </w:tblStylePr>
    <w:tblStylePr w:type="lastRow">
      <w:pPr>
        <w:spacing w:before="0" w:after="0" w:line="240" w:lineRule="auto"/>
      </w:pPr>
      <w:rPr>
        <w:b/>
        <w:bCs/>
      </w:rPr>
      <w:tblPr/>
      <w:tcPr>
        <w:tcBorders>
          <w:top w:val="double" w:sz="6" w:space="0" w:color="969696" w:themeColor="accent3"/>
          <w:left w:val="single" w:sz="8" w:space="0" w:color="969696" w:themeColor="accent3"/>
          <w:bottom w:val="single" w:sz="8" w:space="0" w:color="969696" w:themeColor="accent3"/>
          <w:right w:val="single" w:sz="8" w:space="0" w:color="969696" w:themeColor="accent3"/>
        </w:tcBorders>
      </w:tcPr>
    </w:tblStylePr>
    <w:tblStylePr w:type="firstCol">
      <w:rPr>
        <w:b/>
        <w:bCs/>
      </w:rPr>
    </w:tblStylePr>
    <w:tblStylePr w:type="lastCol">
      <w:rPr>
        <w:b/>
        <w:bCs/>
      </w:rPr>
    </w:tblStylePr>
    <w:tblStylePr w:type="band1Vert">
      <w:tblPr/>
      <w:tcPr>
        <w:tcBorders>
          <w:top w:val="single" w:sz="8" w:space="0" w:color="969696" w:themeColor="accent3"/>
          <w:left w:val="single" w:sz="8" w:space="0" w:color="969696" w:themeColor="accent3"/>
          <w:bottom w:val="single" w:sz="8" w:space="0" w:color="969696" w:themeColor="accent3"/>
          <w:right w:val="single" w:sz="8" w:space="0" w:color="969696" w:themeColor="accent3"/>
        </w:tcBorders>
      </w:tcPr>
    </w:tblStylePr>
    <w:tblStylePr w:type="band1Horz">
      <w:tblPr/>
      <w:tcPr>
        <w:tcBorders>
          <w:top w:val="single" w:sz="8" w:space="0" w:color="969696" w:themeColor="accent3"/>
          <w:left w:val="single" w:sz="8" w:space="0" w:color="969696" w:themeColor="accent3"/>
          <w:bottom w:val="single" w:sz="8" w:space="0" w:color="969696" w:themeColor="accent3"/>
          <w:right w:val="single" w:sz="8" w:space="0" w:color="969696" w:themeColor="accent3"/>
        </w:tcBorders>
      </w:tcPr>
    </w:tblStylePr>
  </w:style>
  <w:style w:type="table" w:styleId="LightList-Accent4">
    <w:name w:val="Light List Accent 4"/>
    <w:basedOn w:val="TableNormal"/>
    <w:uiPriority w:val="98"/>
    <w:semiHidden/>
    <w:rsid w:val="00B12EF5"/>
    <w:tblPr>
      <w:tblStyleRowBandSize w:val="1"/>
      <w:tblStyleColBandSize w:val="1"/>
      <w:tblBorders>
        <w:top w:val="single" w:sz="8" w:space="0" w:color="808080" w:themeColor="accent4"/>
        <w:left w:val="single" w:sz="8" w:space="0" w:color="808080" w:themeColor="accent4"/>
        <w:bottom w:val="single" w:sz="8" w:space="0" w:color="808080" w:themeColor="accent4"/>
        <w:right w:val="single" w:sz="8" w:space="0" w:color="808080" w:themeColor="accent4"/>
      </w:tblBorders>
    </w:tblPr>
    <w:tblStylePr w:type="firstRow">
      <w:pPr>
        <w:spacing w:before="0" w:after="0" w:line="240" w:lineRule="auto"/>
      </w:pPr>
      <w:rPr>
        <w:b/>
        <w:bCs/>
        <w:color w:val="FFFFFF" w:themeColor="background1"/>
      </w:rPr>
      <w:tblPr/>
      <w:tcPr>
        <w:shd w:val="clear" w:color="auto" w:fill="808080" w:themeFill="accent4"/>
      </w:tcPr>
    </w:tblStylePr>
    <w:tblStylePr w:type="lastRow">
      <w:pPr>
        <w:spacing w:before="0" w:after="0" w:line="240" w:lineRule="auto"/>
      </w:pPr>
      <w:rPr>
        <w:b/>
        <w:bCs/>
      </w:rPr>
      <w:tblPr/>
      <w:tcPr>
        <w:tcBorders>
          <w:top w:val="double" w:sz="6" w:space="0" w:color="808080" w:themeColor="accent4"/>
          <w:left w:val="single" w:sz="8" w:space="0" w:color="808080" w:themeColor="accent4"/>
          <w:bottom w:val="single" w:sz="8" w:space="0" w:color="808080" w:themeColor="accent4"/>
          <w:right w:val="single" w:sz="8" w:space="0" w:color="808080" w:themeColor="accent4"/>
        </w:tcBorders>
      </w:tcPr>
    </w:tblStylePr>
    <w:tblStylePr w:type="firstCol">
      <w:rPr>
        <w:b/>
        <w:bCs/>
      </w:rPr>
    </w:tblStylePr>
    <w:tblStylePr w:type="lastCol">
      <w:rPr>
        <w:b/>
        <w:bCs/>
      </w:rPr>
    </w:tblStylePr>
    <w:tblStylePr w:type="band1Vert">
      <w:tblPr/>
      <w:tcPr>
        <w:tcBorders>
          <w:top w:val="single" w:sz="8" w:space="0" w:color="808080" w:themeColor="accent4"/>
          <w:left w:val="single" w:sz="8" w:space="0" w:color="808080" w:themeColor="accent4"/>
          <w:bottom w:val="single" w:sz="8" w:space="0" w:color="808080" w:themeColor="accent4"/>
          <w:right w:val="single" w:sz="8" w:space="0" w:color="808080" w:themeColor="accent4"/>
        </w:tcBorders>
      </w:tcPr>
    </w:tblStylePr>
    <w:tblStylePr w:type="band1Horz">
      <w:tblPr/>
      <w:tcPr>
        <w:tcBorders>
          <w:top w:val="single" w:sz="8" w:space="0" w:color="808080" w:themeColor="accent4"/>
          <w:left w:val="single" w:sz="8" w:space="0" w:color="808080" w:themeColor="accent4"/>
          <w:bottom w:val="single" w:sz="8" w:space="0" w:color="808080" w:themeColor="accent4"/>
          <w:right w:val="single" w:sz="8" w:space="0" w:color="808080" w:themeColor="accent4"/>
        </w:tcBorders>
      </w:tcPr>
    </w:tblStylePr>
  </w:style>
  <w:style w:type="table" w:styleId="LightList-Accent5">
    <w:name w:val="Light List Accent 5"/>
    <w:basedOn w:val="TableNormal"/>
    <w:uiPriority w:val="98"/>
    <w:semiHidden/>
    <w:rsid w:val="00B12EF5"/>
    <w:tblPr>
      <w:tblStyleRowBandSize w:val="1"/>
      <w:tblStyleColBandSize w:val="1"/>
      <w:tblBorders>
        <w:top w:val="single" w:sz="8" w:space="0" w:color="5F5F5F" w:themeColor="accent5"/>
        <w:left w:val="single" w:sz="8" w:space="0" w:color="5F5F5F" w:themeColor="accent5"/>
        <w:bottom w:val="single" w:sz="8" w:space="0" w:color="5F5F5F" w:themeColor="accent5"/>
        <w:right w:val="single" w:sz="8" w:space="0" w:color="5F5F5F" w:themeColor="accent5"/>
      </w:tblBorders>
    </w:tblPr>
    <w:tblStylePr w:type="firstRow">
      <w:pPr>
        <w:spacing w:before="0" w:after="0" w:line="240" w:lineRule="auto"/>
      </w:pPr>
      <w:rPr>
        <w:b/>
        <w:bCs/>
        <w:color w:val="FFFFFF" w:themeColor="background1"/>
      </w:rPr>
      <w:tblPr/>
      <w:tcPr>
        <w:shd w:val="clear" w:color="auto" w:fill="5F5F5F" w:themeFill="accent5"/>
      </w:tcPr>
    </w:tblStylePr>
    <w:tblStylePr w:type="lastRow">
      <w:pPr>
        <w:spacing w:before="0" w:after="0" w:line="240" w:lineRule="auto"/>
      </w:pPr>
      <w:rPr>
        <w:b/>
        <w:bCs/>
      </w:rPr>
      <w:tblPr/>
      <w:tcPr>
        <w:tcBorders>
          <w:top w:val="double" w:sz="6" w:space="0" w:color="5F5F5F" w:themeColor="accent5"/>
          <w:left w:val="single" w:sz="8" w:space="0" w:color="5F5F5F" w:themeColor="accent5"/>
          <w:bottom w:val="single" w:sz="8" w:space="0" w:color="5F5F5F" w:themeColor="accent5"/>
          <w:right w:val="single" w:sz="8" w:space="0" w:color="5F5F5F" w:themeColor="accent5"/>
        </w:tcBorders>
      </w:tcPr>
    </w:tblStylePr>
    <w:tblStylePr w:type="firstCol">
      <w:rPr>
        <w:b/>
        <w:bCs/>
      </w:rPr>
    </w:tblStylePr>
    <w:tblStylePr w:type="lastCol">
      <w:rPr>
        <w:b/>
        <w:bCs/>
      </w:rPr>
    </w:tblStylePr>
    <w:tblStylePr w:type="band1Vert">
      <w:tblPr/>
      <w:tcPr>
        <w:tcBorders>
          <w:top w:val="single" w:sz="8" w:space="0" w:color="5F5F5F" w:themeColor="accent5"/>
          <w:left w:val="single" w:sz="8" w:space="0" w:color="5F5F5F" w:themeColor="accent5"/>
          <w:bottom w:val="single" w:sz="8" w:space="0" w:color="5F5F5F" w:themeColor="accent5"/>
          <w:right w:val="single" w:sz="8" w:space="0" w:color="5F5F5F" w:themeColor="accent5"/>
        </w:tcBorders>
      </w:tcPr>
    </w:tblStylePr>
    <w:tblStylePr w:type="band1Horz">
      <w:tblPr/>
      <w:tcPr>
        <w:tcBorders>
          <w:top w:val="single" w:sz="8" w:space="0" w:color="5F5F5F" w:themeColor="accent5"/>
          <w:left w:val="single" w:sz="8" w:space="0" w:color="5F5F5F" w:themeColor="accent5"/>
          <w:bottom w:val="single" w:sz="8" w:space="0" w:color="5F5F5F" w:themeColor="accent5"/>
          <w:right w:val="single" w:sz="8" w:space="0" w:color="5F5F5F" w:themeColor="accent5"/>
        </w:tcBorders>
      </w:tcPr>
    </w:tblStylePr>
  </w:style>
  <w:style w:type="table" w:styleId="LightList-Accent6">
    <w:name w:val="Light List Accent 6"/>
    <w:basedOn w:val="TableNormal"/>
    <w:uiPriority w:val="98"/>
    <w:semiHidden/>
    <w:rsid w:val="00B12EF5"/>
    <w:tblPr>
      <w:tblStyleRowBandSize w:val="1"/>
      <w:tblStyleColBandSize w:val="1"/>
      <w:tblBorders>
        <w:top w:val="single" w:sz="8" w:space="0" w:color="4D4D4D" w:themeColor="accent6"/>
        <w:left w:val="single" w:sz="8" w:space="0" w:color="4D4D4D" w:themeColor="accent6"/>
        <w:bottom w:val="single" w:sz="8" w:space="0" w:color="4D4D4D" w:themeColor="accent6"/>
        <w:right w:val="single" w:sz="8" w:space="0" w:color="4D4D4D" w:themeColor="accent6"/>
      </w:tblBorders>
    </w:tblPr>
    <w:tblStylePr w:type="firstRow">
      <w:pPr>
        <w:spacing w:before="0" w:after="0" w:line="240" w:lineRule="auto"/>
      </w:pPr>
      <w:rPr>
        <w:b/>
        <w:bCs/>
        <w:color w:val="FFFFFF" w:themeColor="background1"/>
      </w:rPr>
      <w:tblPr/>
      <w:tcPr>
        <w:shd w:val="clear" w:color="auto" w:fill="4D4D4D" w:themeFill="accent6"/>
      </w:tcPr>
    </w:tblStylePr>
    <w:tblStylePr w:type="lastRow">
      <w:pPr>
        <w:spacing w:before="0" w:after="0" w:line="240" w:lineRule="auto"/>
      </w:pPr>
      <w:rPr>
        <w:b/>
        <w:bCs/>
      </w:rPr>
      <w:tblPr/>
      <w:tcPr>
        <w:tcBorders>
          <w:top w:val="double" w:sz="6" w:space="0" w:color="4D4D4D" w:themeColor="accent6"/>
          <w:left w:val="single" w:sz="8" w:space="0" w:color="4D4D4D" w:themeColor="accent6"/>
          <w:bottom w:val="single" w:sz="8" w:space="0" w:color="4D4D4D" w:themeColor="accent6"/>
          <w:right w:val="single" w:sz="8" w:space="0" w:color="4D4D4D" w:themeColor="accent6"/>
        </w:tcBorders>
      </w:tcPr>
    </w:tblStylePr>
    <w:tblStylePr w:type="firstCol">
      <w:rPr>
        <w:b/>
        <w:bCs/>
      </w:rPr>
    </w:tblStylePr>
    <w:tblStylePr w:type="lastCol">
      <w:rPr>
        <w:b/>
        <w:bCs/>
      </w:rPr>
    </w:tblStylePr>
    <w:tblStylePr w:type="band1Vert">
      <w:tblPr/>
      <w:tcPr>
        <w:tcBorders>
          <w:top w:val="single" w:sz="8" w:space="0" w:color="4D4D4D" w:themeColor="accent6"/>
          <w:left w:val="single" w:sz="8" w:space="0" w:color="4D4D4D" w:themeColor="accent6"/>
          <w:bottom w:val="single" w:sz="8" w:space="0" w:color="4D4D4D" w:themeColor="accent6"/>
          <w:right w:val="single" w:sz="8" w:space="0" w:color="4D4D4D" w:themeColor="accent6"/>
        </w:tcBorders>
      </w:tcPr>
    </w:tblStylePr>
    <w:tblStylePr w:type="band1Horz">
      <w:tblPr/>
      <w:tcPr>
        <w:tcBorders>
          <w:top w:val="single" w:sz="8" w:space="0" w:color="4D4D4D" w:themeColor="accent6"/>
          <w:left w:val="single" w:sz="8" w:space="0" w:color="4D4D4D" w:themeColor="accent6"/>
          <w:bottom w:val="single" w:sz="8" w:space="0" w:color="4D4D4D" w:themeColor="accent6"/>
          <w:right w:val="single" w:sz="8" w:space="0" w:color="4D4D4D" w:themeColor="accent6"/>
        </w:tcBorders>
      </w:tcPr>
    </w:tblStylePr>
  </w:style>
  <w:style w:type="table" w:styleId="LightShading">
    <w:name w:val="Light Shading"/>
    <w:basedOn w:val="TableNormal"/>
    <w:uiPriority w:val="98"/>
    <w:semiHidden/>
    <w:rsid w:val="00B12EF5"/>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98"/>
    <w:semiHidden/>
    <w:rsid w:val="00B12EF5"/>
    <w:rPr>
      <w:color w:val="A5A5A5" w:themeColor="accent1" w:themeShade="BF"/>
    </w:rPr>
    <w:tblPr>
      <w:tblStyleRowBandSize w:val="1"/>
      <w:tblStyleColBandSize w:val="1"/>
      <w:tblBorders>
        <w:top w:val="single" w:sz="8" w:space="0" w:color="DDDDDD" w:themeColor="accent1"/>
        <w:bottom w:val="single" w:sz="8" w:space="0" w:color="DDDDDD" w:themeColor="accent1"/>
      </w:tblBorders>
    </w:tblPr>
    <w:tblStylePr w:type="firstRow">
      <w:pPr>
        <w:spacing w:before="0" w:after="0" w:line="240" w:lineRule="auto"/>
      </w:pPr>
      <w:rPr>
        <w:b/>
        <w:bCs/>
      </w:rPr>
      <w:tblPr/>
      <w:tcPr>
        <w:tcBorders>
          <w:top w:val="single" w:sz="8" w:space="0" w:color="DDDDDD" w:themeColor="accent1"/>
          <w:left w:val="nil"/>
          <w:bottom w:val="single" w:sz="8" w:space="0" w:color="DDDDDD" w:themeColor="accent1"/>
          <w:right w:val="nil"/>
          <w:insideH w:val="nil"/>
          <w:insideV w:val="nil"/>
        </w:tcBorders>
      </w:tcPr>
    </w:tblStylePr>
    <w:tblStylePr w:type="lastRow">
      <w:pPr>
        <w:spacing w:before="0" w:after="0" w:line="240" w:lineRule="auto"/>
      </w:pPr>
      <w:rPr>
        <w:b/>
        <w:bCs/>
      </w:rPr>
      <w:tblPr/>
      <w:tcPr>
        <w:tcBorders>
          <w:top w:val="single" w:sz="8" w:space="0" w:color="DDDDDD" w:themeColor="accent1"/>
          <w:left w:val="nil"/>
          <w:bottom w:val="single" w:sz="8" w:space="0" w:color="DDDDD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6F6F6" w:themeFill="accent1" w:themeFillTint="3F"/>
      </w:tcPr>
    </w:tblStylePr>
    <w:tblStylePr w:type="band1Horz">
      <w:tblPr/>
      <w:tcPr>
        <w:tcBorders>
          <w:left w:val="nil"/>
          <w:right w:val="nil"/>
          <w:insideH w:val="nil"/>
          <w:insideV w:val="nil"/>
        </w:tcBorders>
        <w:shd w:val="clear" w:color="auto" w:fill="F6F6F6" w:themeFill="accent1" w:themeFillTint="3F"/>
      </w:tcPr>
    </w:tblStylePr>
  </w:style>
  <w:style w:type="table" w:styleId="LightShading-Accent2">
    <w:name w:val="Light Shading Accent 2"/>
    <w:basedOn w:val="TableNormal"/>
    <w:uiPriority w:val="98"/>
    <w:semiHidden/>
    <w:rsid w:val="00B12EF5"/>
    <w:rPr>
      <w:color w:val="858585" w:themeColor="accent2" w:themeShade="BF"/>
    </w:rPr>
    <w:tblPr>
      <w:tblStyleRowBandSize w:val="1"/>
      <w:tblStyleColBandSize w:val="1"/>
      <w:tblBorders>
        <w:top w:val="single" w:sz="8" w:space="0" w:color="B2B2B2" w:themeColor="accent2"/>
        <w:bottom w:val="single" w:sz="8" w:space="0" w:color="B2B2B2" w:themeColor="accent2"/>
      </w:tblBorders>
    </w:tblPr>
    <w:tblStylePr w:type="firstRow">
      <w:pPr>
        <w:spacing w:before="0" w:after="0" w:line="240" w:lineRule="auto"/>
      </w:pPr>
      <w:rPr>
        <w:b/>
        <w:bCs/>
      </w:rPr>
      <w:tblPr/>
      <w:tcPr>
        <w:tcBorders>
          <w:top w:val="single" w:sz="8" w:space="0" w:color="B2B2B2" w:themeColor="accent2"/>
          <w:left w:val="nil"/>
          <w:bottom w:val="single" w:sz="8" w:space="0" w:color="B2B2B2" w:themeColor="accent2"/>
          <w:right w:val="nil"/>
          <w:insideH w:val="nil"/>
          <w:insideV w:val="nil"/>
        </w:tcBorders>
      </w:tcPr>
    </w:tblStylePr>
    <w:tblStylePr w:type="lastRow">
      <w:pPr>
        <w:spacing w:before="0" w:after="0" w:line="240" w:lineRule="auto"/>
      </w:pPr>
      <w:rPr>
        <w:b/>
        <w:bCs/>
      </w:rPr>
      <w:tblPr/>
      <w:tcPr>
        <w:tcBorders>
          <w:top w:val="single" w:sz="8" w:space="0" w:color="B2B2B2" w:themeColor="accent2"/>
          <w:left w:val="nil"/>
          <w:bottom w:val="single" w:sz="8" w:space="0" w:color="B2B2B2"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BEBEB" w:themeFill="accent2" w:themeFillTint="3F"/>
      </w:tcPr>
    </w:tblStylePr>
    <w:tblStylePr w:type="band1Horz">
      <w:tblPr/>
      <w:tcPr>
        <w:tcBorders>
          <w:left w:val="nil"/>
          <w:right w:val="nil"/>
          <w:insideH w:val="nil"/>
          <w:insideV w:val="nil"/>
        </w:tcBorders>
        <w:shd w:val="clear" w:color="auto" w:fill="EBEBEB" w:themeFill="accent2" w:themeFillTint="3F"/>
      </w:tcPr>
    </w:tblStylePr>
  </w:style>
  <w:style w:type="table" w:styleId="LightShading-Accent3">
    <w:name w:val="Light Shading Accent 3"/>
    <w:basedOn w:val="TableNormal"/>
    <w:uiPriority w:val="98"/>
    <w:semiHidden/>
    <w:rsid w:val="00B12EF5"/>
    <w:rPr>
      <w:color w:val="707070" w:themeColor="accent3" w:themeShade="BF"/>
    </w:rPr>
    <w:tblPr>
      <w:tblStyleRowBandSize w:val="1"/>
      <w:tblStyleColBandSize w:val="1"/>
      <w:tblBorders>
        <w:top w:val="single" w:sz="8" w:space="0" w:color="969696" w:themeColor="accent3"/>
        <w:bottom w:val="single" w:sz="8" w:space="0" w:color="969696" w:themeColor="accent3"/>
      </w:tblBorders>
    </w:tblPr>
    <w:tblStylePr w:type="firstRow">
      <w:pPr>
        <w:spacing w:before="0" w:after="0" w:line="240" w:lineRule="auto"/>
      </w:pPr>
      <w:rPr>
        <w:b/>
        <w:bCs/>
      </w:rPr>
      <w:tblPr/>
      <w:tcPr>
        <w:tcBorders>
          <w:top w:val="single" w:sz="8" w:space="0" w:color="969696" w:themeColor="accent3"/>
          <w:left w:val="nil"/>
          <w:bottom w:val="single" w:sz="8" w:space="0" w:color="969696" w:themeColor="accent3"/>
          <w:right w:val="nil"/>
          <w:insideH w:val="nil"/>
          <w:insideV w:val="nil"/>
        </w:tcBorders>
      </w:tcPr>
    </w:tblStylePr>
    <w:tblStylePr w:type="lastRow">
      <w:pPr>
        <w:spacing w:before="0" w:after="0" w:line="240" w:lineRule="auto"/>
      </w:pPr>
      <w:rPr>
        <w:b/>
        <w:bCs/>
      </w:rPr>
      <w:tblPr/>
      <w:tcPr>
        <w:tcBorders>
          <w:top w:val="single" w:sz="8" w:space="0" w:color="969696" w:themeColor="accent3"/>
          <w:left w:val="nil"/>
          <w:bottom w:val="single" w:sz="8" w:space="0" w:color="969696"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5E5E5" w:themeFill="accent3" w:themeFillTint="3F"/>
      </w:tcPr>
    </w:tblStylePr>
    <w:tblStylePr w:type="band1Horz">
      <w:tblPr/>
      <w:tcPr>
        <w:tcBorders>
          <w:left w:val="nil"/>
          <w:right w:val="nil"/>
          <w:insideH w:val="nil"/>
          <w:insideV w:val="nil"/>
        </w:tcBorders>
        <w:shd w:val="clear" w:color="auto" w:fill="E5E5E5" w:themeFill="accent3" w:themeFillTint="3F"/>
      </w:tcPr>
    </w:tblStylePr>
  </w:style>
  <w:style w:type="table" w:styleId="LightShading-Accent4">
    <w:name w:val="Light Shading Accent 4"/>
    <w:basedOn w:val="TableNormal"/>
    <w:uiPriority w:val="98"/>
    <w:semiHidden/>
    <w:rsid w:val="00B12EF5"/>
    <w:rPr>
      <w:color w:val="5F5F5F" w:themeColor="accent4" w:themeShade="BF"/>
    </w:rPr>
    <w:tblPr>
      <w:tblStyleRowBandSize w:val="1"/>
      <w:tblStyleColBandSize w:val="1"/>
      <w:tblBorders>
        <w:top w:val="single" w:sz="8" w:space="0" w:color="808080" w:themeColor="accent4"/>
        <w:bottom w:val="single" w:sz="8" w:space="0" w:color="808080" w:themeColor="accent4"/>
      </w:tblBorders>
    </w:tblPr>
    <w:tblStylePr w:type="firstRow">
      <w:pPr>
        <w:spacing w:before="0" w:after="0" w:line="240" w:lineRule="auto"/>
      </w:pPr>
      <w:rPr>
        <w:b/>
        <w:bCs/>
      </w:rPr>
      <w:tblPr/>
      <w:tcPr>
        <w:tcBorders>
          <w:top w:val="single" w:sz="8" w:space="0" w:color="808080" w:themeColor="accent4"/>
          <w:left w:val="nil"/>
          <w:bottom w:val="single" w:sz="8" w:space="0" w:color="808080" w:themeColor="accent4"/>
          <w:right w:val="nil"/>
          <w:insideH w:val="nil"/>
          <w:insideV w:val="nil"/>
        </w:tcBorders>
      </w:tcPr>
    </w:tblStylePr>
    <w:tblStylePr w:type="lastRow">
      <w:pPr>
        <w:spacing w:before="0" w:after="0" w:line="240" w:lineRule="auto"/>
      </w:pPr>
      <w:rPr>
        <w:b/>
        <w:bCs/>
      </w:rPr>
      <w:tblPr/>
      <w:tcPr>
        <w:tcBorders>
          <w:top w:val="single" w:sz="8" w:space="0" w:color="808080" w:themeColor="accent4"/>
          <w:left w:val="nil"/>
          <w:bottom w:val="single" w:sz="8" w:space="0" w:color="80808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FDF" w:themeFill="accent4" w:themeFillTint="3F"/>
      </w:tcPr>
    </w:tblStylePr>
    <w:tblStylePr w:type="band1Horz">
      <w:tblPr/>
      <w:tcPr>
        <w:tcBorders>
          <w:left w:val="nil"/>
          <w:right w:val="nil"/>
          <w:insideH w:val="nil"/>
          <w:insideV w:val="nil"/>
        </w:tcBorders>
        <w:shd w:val="clear" w:color="auto" w:fill="DFDFDF" w:themeFill="accent4" w:themeFillTint="3F"/>
      </w:tcPr>
    </w:tblStylePr>
  </w:style>
  <w:style w:type="table" w:styleId="LightShading-Accent5">
    <w:name w:val="Light Shading Accent 5"/>
    <w:basedOn w:val="TableNormal"/>
    <w:uiPriority w:val="98"/>
    <w:semiHidden/>
    <w:rsid w:val="00B12EF5"/>
    <w:rPr>
      <w:color w:val="474747" w:themeColor="accent5" w:themeShade="BF"/>
    </w:rPr>
    <w:tblPr>
      <w:tblStyleRowBandSize w:val="1"/>
      <w:tblStyleColBandSize w:val="1"/>
      <w:tblBorders>
        <w:top w:val="single" w:sz="8" w:space="0" w:color="5F5F5F" w:themeColor="accent5"/>
        <w:bottom w:val="single" w:sz="8" w:space="0" w:color="5F5F5F" w:themeColor="accent5"/>
      </w:tblBorders>
    </w:tblPr>
    <w:tblStylePr w:type="firstRow">
      <w:pPr>
        <w:spacing w:before="0" w:after="0" w:line="240" w:lineRule="auto"/>
      </w:pPr>
      <w:rPr>
        <w:b/>
        <w:bCs/>
      </w:rPr>
      <w:tblPr/>
      <w:tcPr>
        <w:tcBorders>
          <w:top w:val="single" w:sz="8" w:space="0" w:color="5F5F5F" w:themeColor="accent5"/>
          <w:left w:val="nil"/>
          <w:bottom w:val="single" w:sz="8" w:space="0" w:color="5F5F5F" w:themeColor="accent5"/>
          <w:right w:val="nil"/>
          <w:insideH w:val="nil"/>
          <w:insideV w:val="nil"/>
        </w:tcBorders>
      </w:tcPr>
    </w:tblStylePr>
    <w:tblStylePr w:type="lastRow">
      <w:pPr>
        <w:spacing w:before="0" w:after="0" w:line="240" w:lineRule="auto"/>
      </w:pPr>
      <w:rPr>
        <w:b/>
        <w:bCs/>
      </w:rPr>
      <w:tblPr/>
      <w:tcPr>
        <w:tcBorders>
          <w:top w:val="single" w:sz="8" w:space="0" w:color="5F5F5F" w:themeColor="accent5"/>
          <w:left w:val="nil"/>
          <w:bottom w:val="single" w:sz="8" w:space="0" w:color="5F5F5F"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7D7D7" w:themeFill="accent5" w:themeFillTint="3F"/>
      </w:tcPr>
    </w:tblStylePr>
    <w:tblStylePr w:type="band1Horz">
      <w:tblPr/>
      <w:tcPr>
        <w:tcBorders>
          <w:left w:val="nil"/>
          <w:right w:val="nil"/>
          <w:insideH w:val="nil"/>
          <w:insideV w:val="nil"/>
        </w:tcBorders>
        <w:shd w:val="clear" w:color="auto" w:fill="D7D7D7" w:themeFill="accent5" w:themeFillTint="3F"/>
      </w:tcPr>
    </w:tblStylePr>
  </w:style>
  <w:style w:type="table" w:styleId="LightShading-Accent6">
    <w:name w:val="Light Shading Accent 6"/>
    <w:basedOn w:val="TableNormal"/>
    <w:uiPriority w:val="98"/>
    <w:semiHidden/>
    <w:rsid w:val="00B12EF5"/>
    <w:rPr>
      <w:color w:val="393939" w:themeColor="accent6" w:themeShade="BF"/>
    </w:rPr>
    <w:tblPr>
      <w:tblStyleRowBandSize w:val="1"/>
      <w:tblStyleColBandSize w:val="1"/>
      <w:tblBorders>
        <w:top w:val="single" w:sz="8" w:space="0" w:color="4D4D4D" w:themeColor="accent6"/>
        <w:bottom w:val="single" w:sz="8" w:space="0" w:color="4D4D4D" w:themeColor="accent6"/>
      </w:tblBorders>
    </w:tblPr>
    <w:tblStylePr w:type="firstRow">
      <w:pPr>
        <w:spacing w:before="0" w:after="0" w:line="240" w:lineRule="auto"/>
      </w:pPr>
      <w:rPr>
        <w:b/>
        <w:bCs/>
      </w:rPr>
      <w:tblPr/>
      <w:tcPr>
        <w:tcBorders>
          <w:top w:val="single" w:sz="8" w:space="0" w:color="4D4D4D" w:themeColor="accent6"/>
          <w:left w:val="nil"/>
          <w:bottom w:val="single" w:sz="8" w:space="0" w:color="4D4D4D" w:themeColor="accent6"/>
          <w:right w:val="nil"/>
          <w:insideH w:val="nil"/>
          <w:insideV w:val="nil"/>
        </w:tcBorders>
      </w:tcPr>
    </w:tblStylePr>
    <w:tblStylePr w:type="lastRow">
      <w:pPr>
        <w:spacing w:before="0" w:after="0" w:line="240" w:lineRule="auto"/>
      </w:pPr>
      <w:rPr>
        <w:b/>
        <w:bCs/>
      </w:rPr>
      <w:tblPr/>
      <w:tcPr>
        <w:tcBorders>
          <w:top w:val="single" w:sz="8" w:space="0" w:color="4D4D4D" w:themeColor="accent6"/>
          <w:left w:val="nil"/>
          <w:bottom w:val="single" w:sz="8" w:space="0" w:color="4D4D4D"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3D3" w:themeFill="accent6" w:themeFillTint="3F"/>
      </w:tcPr>
    </w:tblStylePr>
    <w:tblStylePr w:type="band1Horz">
      <w:tblPr/>
      <w:tcPr>
        <w:tcBorders>
          <w:left w:val="nil"/>
          <w:right w:val="nil"/>
          <w:insideH w:val="nil"/>
          <w:insideV w:val="nil"/>
        </w:tcBorders>
        <w:shd w:val="clear" w:color="auto" w:fill="D3D3D3" w:themeFill="accent6" w:themeFillTint="3F"/>
      </w:tcPr>
    </w:tblStylePr>
  </w:style>
  <w:style w:type="character" w:styleId="LineNumber">
    <w:name w:val="line number"/>
    <w:basedOn w:val="DefaultParagraphFont"/>
    <w:uiPriority w:val="98"/>
    <w:semiHidden/>
    <w:rsid w:val="00B12EF5"/>
    <w:rPr>
      <w:rFonts w:asciiTheme="minorHAnsi" w:eastAsiaTheme="minorEastAsia" w:hAnsiTheme="minorHAnsi" w:cstheme="minorBidi"/>
      <w:szCs w:val="24"/>
    </w:rPr>
  </w:style>
  <w:style w:type="paragraph" w:styleId="List">
    <w:name w:val="List"/>
    <w:basedOn w:val="Normal"/>
    <w:uiPriority w:val="98"/>
    <w:semiHidden/>
    <w:rsid w:val="00B12EF5"/>
    <w:pPr>
      <w:ind w:left="283" w:hanging="283"/>
      <w:contextualSpacing/>
    </w:pPr>
  </w:style>
  <w:style w:type="paragraph" w:styleId="List2">
    <w:name w:val="List 2"/>
    <w:basedOn w:val="Normal"/>
    <w:uiPriority w:val="98"/>
    <w:semiHidden/>
    <w:rsid w:val="00B12EF5"/>
    <w:pPr>
      <w:ind w:left="566" w:hanging="283"/>
      <w:contextualSpacing/>
    </w:pPr>
  </w:style>
  <w:style w:type="paragraph" w:styleId="List3">
    <w:name w:val="List 3"/>
    <w:basedOn w:val="Normal"/>
    <w:uiPriority w:val="98"/>
    <w:semiHidden/>
    <w:rsid w:val="00B12EF5"/>
    <w:pPr>
      <w:ind w:left="849" w:hanging="283"/>
      <w:contextualSpacing/>
    </w:pPr>
  </w:style>
  <w:style w:type="paragraph" w:styleId="List4">
    <w:name w:val="List 4"/>
    <w:basedOn w:val="Normal"/>
    <w:uiPriority w:val="98"/>
    <w:semiHidden/>
    <w:rsid w:val="00B12EF5"/>
    <w:pPr>
      <w:ind w:left="1132" w:hanging="283"/>
      <w:contextualSpacing/>
    </w:pPr>
  </w:style>
  <w:style w:type="paragraph" w:styleId="List5">
    <w:name w:val="List 5"/>
    <w:basedOn w:val="Normal"/>
    <w:uiPriority w:val="98"/>
    <w:semiHidden/>
    <w:rsid w:val="00B12EF5"/>
    <w:pPr>
      <w:ind w:left="1415" w:hanging="283"/>
      <w:contextualSpacing/>
    </w:pPr>
  </w:style>
  <w:style w:type="paragraph" w:styleId="ListBullet">
    <w:name w:val="List Bullet"/>
    <w:basedOn w:val="Normal"/>
    <w:uiPriority w:val="98"/>
    <w:semiHidden/>
    <w:rsid w:val="00B12EF5"/>
    <w:pPr>
      <w:numPr>
        <w:numId w:val="2"/>
      </w:numPr>
      <w:contextualSpacing/>
    </w:pPr>
  </w:style>
  <w:style w:type="paragraph" w:styleId="ListBullet2">
    <w:name w:val="List Bullet 2"/>
    <w:basedOn w:val="Normal"/>
    <w:uiPriority w:val="98"/>
    <w:semiHidden/>
    <w:rsid w:val="00B12EF5"/>
    <w:pPr>
      <w:numPr>
        <w:numId w:val="4"/>
      </w:numPr>
      <w:contextualSpacing/>
    </w:pPr>
  </w:style>
  <w:style w:type="paragraph" w:styleId="ListBullet3">
    <w:name w:val="List Bullet 3"/>
    <w:basedOn w:val="Normal"/>
    <w:uiPriority w:val="98"/>
    <w:semiHidden/>
    <w:rsid w:val="00B12EF5"/>
    <w:pPr>
      <w:numPr>
        <w:numId w:val="5"/>
      </w:numPr>
      <w:contextualSpacing/>
    </w:pPr>
  </w:style>
  <w:style w:type="paragraph" w:styleId="ListBullet4">
    <w:name w:val="List Bullet 4"/>
    <w:basedOn w:val="Normal"/>
    <w:uiPriority w:val="98"/>
    <w:semiHidden/>
    <w:rsid w:val="00B12EF5"/>
    <w:pPr>
      <w:numPr>
        <w:numId w:val="6"/>
      </w:numPr>
      <w:contextualSpacing/>
    </w:pPr>
  </w:style>
  <w:style w:type="paragraph" w:styleId="ListBullet5">
    <w:name w:val="List Bullet 5"/>
    <w:basedOn w:val="Normal"/>
    <w:uiPriority w:val="98"/>
    <w:semiHidden/>
    <w:rsid w:val="00B12EF5"/>
    <w:pPr>
      <w:numPr>
        <w:numId w:val="7"/>
      </w:numPr>
      <w:contextualSpacing/>
    </w:pPr>
  </w:style>
  <w:style w:type="paragraph" w:styleId="ListContinue">
    <w:name w:val="List Continue"/>
    <w:basedOn w:val="Normal"/>
    <w:uiPriority w:val="98"/>
    <w:semiHidden/>
    <w:rsid w:val="00B12EF5"/>
    <w:pPr>
      <w:spacing w:after="120"/>
      <w:ind w:left="283"/>
      <w:contextualSpacing/>
    </w:pPr>
  </w:style>
  <w:style w:type="paragraph" w:styleId="ListContinue2">
    <w:name w:val="List Continue 2"/>
    <w:basedOn w:val="Normal"/>
    <w:uiPriority w:val="98"/>
    <w:semiHidden/>
    <w:rsid w:val="00B12EF5"/>
    <w:pPr>
      <w:spacing w:after="120"/>
      <w:ind w:left="566"/>
      <w:contextualSpacing/>
    </w:pPr>
  </w:style>
  <w:style w:type="paragraph" w:styleId="ListContinue3">
    <w:name w:val="List Continue 3"/>
    <w:basedOn w:val="Normal"/>
    <w:uiPriority w:val="98"/>
    <w:semiHidden/>
    <w:rsid w:val="00B12EF5"/>
    <w:pPr>
      <w:spacing w:after="120"/>
      <w:ind w:left="849"/>
      <w:contextualSpacing/>
    </w:pPr>
  </w:style>
  <w:style w:type="paragraph" w:styleId="ListContinue4">
    <w:name w:val="List Continue 4"/>
    <w:basedOn w:val="Normal"/>
    <w:uiPriority w:val="98"/>
    <w:semiHidden/>
    <w:rsid w:val="00B12EF5"/>
    <w:pPr>
      <w:spacing w:after="120"/>
      <w:ind w:left="1132"/>
      <w:contextualSpacing/>
    </w:pPr>
  </w:style>
  <w:style w:type="paragraph" w:styleId="ListContinue5">
    <w:name w:val="List Continue 5"/>
    <w:basedOn w:val="Normal"/>
    <w:uiPriority w:val="98"/>
    <w:semiHidden/>
    <w:rsid w:val="00B12EF5"/>
    <w:pPr>
      <w:spacing w:after="120"/>
      <w:ind w:left="1415"/>
      <w:contextualSpacing/>
    </w:pPr>
  </w:style>
  <w:style w:type="paragraph" w:styleId="ListNumber">
    <w:name w:val="List Number"/>
    <w:basedOn w:val="Normal"/>
    <w:uiPriority w:val="98"/>
    <w:semiHidden/>
    <w:rsid w:val="00B12EF5"/>
    <w:pPr>
      <w:numPr>
        <w:numId w:val="3"/>
      </w:numPr>
      <w:contextualSpacing/>
    </w:pPr>
  </w:style>
  <w:style w:type="paragraph" w:styleId="ListNumber2">
    <w:name w:val="List Number 2"/>
    <w:basedOn w:val="Normal"/>
    <w:uiPriority w:val="98"/>
    <w:semiHidden/>
    <w:rsid w:val="00B12EF5"/>
    <w:pPr>
      <w:numPr>
        <w:numId w:val="8"/>
      </w:numPr>
      <w:contextualSpacing/>
    </w:pPr>
  </w:style>
  <w:style w:type="paragraph" w:styleId="ListNumber3">
    <w:name w:val="List Number 3"/>
    <w:basedOn w:val="Normal"/>
    <w:uiPriority w:val="98"/>
    <w:semiHidden/>
    <w:rsid w:val="00B12EF5"/>
    <w:pPr>
      <w:numPr>
        <w:numId w:val="9"/>
      </w:numPr>
      <w:contextualSpacing/>
    </w:pPr>
  </w:style>
  <w:style w:type="paragraph" w:styleId="ListNumber4">
    <w:name w:val="List Number 4"/>
    <w:basedOn w:val="Normal"/>
    <w:uiPriority w:val="98"/>
    <w:semiHidden/>
    <w:rsid w:val="00B12EF5"/>
    <w:pPr>
      <w:numPr>
        <w:numId w:val="10"/>
      </w:numPr>
      <w:contextualSpacing/>
    </w:pPr>
  </w:style>
  <w:style w:type="paragraph" w:styleId="ListNumber5">
    <w:name w:val="List Number 5"/>
    <w:basedOn w:val="Normal"/>
    <w:uiPriority w:val="98"/>
    <w:semiHidden/>
    <w:rsid w:val="00B12EF5"/>
    <w:pPr>
      <w:numPr>
        <w:numId w:val="11"/>
      </w:numPr>
      <w:contextualSpacing/>
    </w:pPr>
  </w:style>
  <w:style w:type="paragraph" w:styleId="ListParagraph">
    <w:name w:val="List Paragraph"/>
    <w:basedOn w:val="Normal"/>
    <w:uiPriority w:val="98"/>
    <w:qFormat/>
    <w:rsid w:val="00B12EF5"/>
    <w:pPr>
      <w:ind w:left="720"/>
      <w:contextualSpacing/>
    </w:pPr>
  </w:style>
  <w:style w:type="paragraph" w:styleId="MacroText">
    <w:name w:val="macro"/>
    <w:link w:val="MacroTextChar"/>
    <w:uiPriority w:val="98"/>
    <w:semiHidden/>
    <w:rsid w:val="00B12EF5"/>
    <w:pPr>
      <w:tabs>
        <w:tab w:val="left" w:pos="480"/>
        <w:tab w:val="left" w:pos="960"/>
        <w:tab w:val="left" w:pos="1440"/>
        <w:tab w:val="left" w:pos="1920"/>
        <w:tab w:val="left" w:pos="2400"/>
        <w:tab w:val="left" w:pos="2880"/>
        <w:tab w:val="left" w:pos="3360"/>
        <w:tab w:val="left" w:pos="3840"/>
        <w:tab w:val="left" w:pos="4320"/>
      </w:tabs>
      <w:spacing w:line="264" w:lineRule="auto"/>
      <w:jc w:val="both"/>
    </w:pPr>
    <w:rPr>
      <w:lang w:eastAsia="en-GB"/>
    </w:rPr>
  </w:style>
  <w:style w:type="character" w:customStyle="1" w:styleId="MacroTextChar">
    <w:name w:val="Macro Text Char"/>
    <w:basedOn w:val="DefaultParagraphFont"/>
    <w:link w:val="MacroText"/>
    <w:uiPriority w:val="98"/>
    <w:semiHidden/>
    <w:rsid w:val="00B12EF5"/>
    <w:rPr>
      <w:rFonts w:asciiTheme="minorHAnsi" w:eastAsiaTheme="minorEastAsia" w:hAnsiTheme="minorHAnsi" w:cstheme="minorBidi"/>
      <w:szCs w:val="24"/>
      <w:lang w:eastAsia="en-GB"/>
    </w:rPr>
  </w:style>
  <w:style w:type="table" w:styleId="MediumGrid1">
    <w:name w:val="Medium Grid 1"/>
    <w:basedOn w:val="TableNormal"/>
    <w:uiPriority w:val="98"/>
    <w:semiHidden/>
    <w:rsid w:val="00B12EF5"/>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98"/>
    <w:semiHidden/>
    <w:rsid w:val="00B12EF5"/>
    <w:tblPr>
      <w:tblStyleRowBandSize w:val="1"/>
      <w:tblStyleColBandSize w:val="1"/>
      <w:tblBorders>
        <w:top w:val="single" w:sz="8" w:space="0" w:color="E5E5E5" w:themeColor="accent1" w:themeTint="BF"/>
        <w:left w:val="single" w:sz="8" w:space="0" w:color="E5E5E5" w:themeColor="accent1" w:themeTint="BF"/>
        <w:bottom w:val="single" w:sz="8" w:space="0" w:color="E5E5E5" w:themeColor="accent1" w:themeTint="BF"/>
        <w:right w:val="single" w:sz="8" w:space="0" w:color="E5E5E5" w:themeColor="accent1" w:themeTint="BF"/>
        <w:insideH w:val="single" w:sz="8" w:space="0" w:color="E5E5E5" w:themeColor="accent1" w:themeTint="BF"/>
        <w:insideV w:val="single" w:sz="8" w:space="0" w:color="E5E5E5" w:themeColor="accent1" w:themeTint="BF"/>
      </w:tblBorders>
    </w:tblPr>
    <w:tcPr>
      <w:shd w:val="clear" w:color="auto" w:fill="F6F6F6" w:themeFill="accent1" w:themeFillTint="3F"/>
    </w:tcPr>
    <w:tblStylePr w:type="firstRow">
      <w:rPr>
        <w:b/>
        <w:bCs/>
      </w:rPr>
    </w:tblStylePr>
    <w:tblStylePr w:type="lastRow">
      <w:rPr>
        <w:b/>
        <w:bCs/>
      </w:rPr>
      <w:tblPr/>
      <w:tcPr>
        <w:tcBorders>
          <w:top w:val="single" w:sz="18" w:space="0" w:color="E5E5E5" w:themeColor="accent1" w:themeTint="BF"/>
        </w:tcBorders>
      </w:tcPr>
    </w:tblStylePr>
    <w:tblStylePr w:type="firstCol">
      <w:rPr>
        <w:b/>
        <w:bCs/>
      </w:rPr>
    </w:tblStylePr>
    <w:tblStylePr w:type="lastCol">
      <w:rPr>
        <w:b/>
        <w:bCs/>
      </w:rPr>
    </w:tblStylePr>
    <w:tblStylePr w:type="band1Vert">
      <w:tblPr/>
      <w:tcPr>
        <w:shd w:val="clear" w:color="auto" w:fill="EEEEEE" w:themeFill="accent1" w:themeFillTint="7F"/>
      </w:tcPr>
    </w:tblStylePr>
    <w:tblStylePr w:type="band1Horz">
      <w:tblPr/>
      <w:tcPr>
        <w:shd w:val="clear" w:color="auto" w:fill="EEEEEE" w:themeFill="accent1" w:themeFillTint="7F"/>
      </w:tcPr>
    </w:tblStylePr>
  </w:style>
  <w:style w:type="table" w:styleId="MediumGrid1-Accent2">
    <w:name w:val="Medium Grid 1 Accent 2"/>
    <w:basedOn w:val="TableNormal"/>
    <w:uiPriority w:val="98"/>
    <w:semiHidden/>
    <w:rsid w:val="00B12EF5"/>
    <w:tblPr>
      <w:tblStyleRowBandSize w:val="1"/>
      <w:tblStyleColBandSize w:val="1"/>
      <w:tblBorders>
        <w:top w:val="single" w:sz="8" w:space="0" w:color="C5C5C5" w:themeColor="accent2" w:themeTint="BF"/>
        <w:left w:val="single" w:sz="8" w:space="0" w:color="C5C5C5" w:themeColor="accent2" w:themeTint="BF"/>
        <w:bottom w:val="single" w:sz="8" w:space="0" w:color="C5C5C5" w:themeColor="accent2" w:themeTint="BF"/>
        <w:right w:val="single" w:sz="8" w:space="0" w:color="C5C5C5" w:themeColor="accent2" w:themeTint="BF"/>
        <w:insideH w:val="single" w:sz="8" w:space="0" w:color="C5C5C5" w:themeColor="accent2" w:themeTint="BF"/>
        <w:insideV w:val="single" w:sz="8" w:space="0" w:color="C5C5C5" w:themeColor="accent2" w:themeTint="BF"/>
      </w:tblBorders>
    </w:tblPr>
    <w:tcPr>
      <w:shd w:val="clear" w:color="auto" w:fill="EBEBEB" w:themeFill="accent2" w:themeFillTint="3F"/>
    </w:tcPr>
    <w:tblStylePr w:type="firstRow">
      <w:rPr>
        <w:b/>
        <w:bCs/>
      </w:rPr>
    </w:tblStylePr>
    <w:tblStylePr w:type="lastRow">
      <w:rPr>
        <w:b/>
        <w:bCs/>
      </w:rPr>
      <w:tblPr/>
      <w:tcPr>
        <w:tcBorders>
          <w:top w:val="single" w:sz="18" w:space="0" w:color="C5C5C5" w:themeColor="accent2" w:themeTint="BF"/>
        </w:tcBorders>
      </w:tcPr>
    </w:tblStylePr>
    <w:tblStylePr w:type="firstCol">
      <w:rPr>
        <w:b/>
        <w:bCs/>
      </w:rPr>
    </w:tblStylePr>
    <w:tblStylePr w:type="lastCol">
      <w:rPr>
        <w:b/>
        <w:bCs/>
      </w:rPr>
    </w:tblStylePr>
    <w:tblStylePr w:type="band1Vert">
      <w:tblPr/>
      <w:tcPr>
        <w:shd w:val="clear" w:color="auto" w:fill="D8D8D8" w:themeFill="accent2" w:themeFillTint="7F"/>
      </w:tcPr>
    </w:tblStylePr>
    <w:tblStylePr w:type="band1Horz">
      <w:tblPr/>
      <w:tcPr>
        <w:shd w:val="clear" w:color="auto" w:fill="D8D8D8" w:themeFill="accent2" w:themeFillTint="7F"/>
      </w:tcPr>
    </w:tblStylePr>
  </w:style>
  <w:style w:type="table" w:styleId="MediumGrid1-Accent3">
    <w:name w:val="Medium Grid 1 Accent 3"/>
    <w:basedOn w:val="TableNormal"/>
    <w:uiPriority w:val="98"/>
    <w:semiHidden/>
    <w:rsid w:val="00B12EF5"/>
    <w:tblPr>
      <w:tblStyleRowBandSize w:val="1"/>
      <w:tblStyleColBandSize w:val="1"/>
      <w:tblBorders>
        <w:top w:val="single" w:sz="8" w:space="0" w:color="B0B0B0" w:themeColor="accent3" w:themeTint="BF"/>
        <w:left w:val="single" w:sz="8" w:space="0" w:color="B0B0B0" w:themeColor="accent3" w:themeTint="BF"/>
        <w:bottom w:val="single" w:sz="8" w:space="0" w:color="B0B0B0" w:themeColor="accent3" w:themeTint="BF"/>
        <w:right w:val="single" w:sz="8" w:space="0" w:color="B0B0B0" w:themeColor="accent3" w:themeTint="BF"/>
        <w:insideH w:val="single" w:sz="8" w:space="0" w:color="B0B0B0" w:themeColor="accent3" w:themeTint="BF"/>
        <w:insideV w:val="single" w:sz="8" w:space="0" w:color="B0B0B0" w:themeColor="accent3" w:themeTint="BF"/>
      </w:tblBorders>
    </w:tblPr>
    <w:tcPr>
      <w:shd w:val="clear" w:color="auto" w:fill="E5E5E5" w:themeFill="accent3" w:themeFillTint="3F"/>
    </w:tcPr>
    <w:tblStylePr w:type="firstRow">
      <w:rPr>
        <w:b/>
        <w:bCs/>
      </w:rPr>
    </w:tblStylePr>
    <w:tblStylePr w:type="lastRow">
      <w:rPr>
        <w:b/>
        <w:bCs/>
      </w:rPr>
      <w:tblPr/>
      <w:tcPr>
        <w:tcBorders>
          <w:top w:val="single" w:sz="18" w:space="0" w:color="B0B0B0" w:themeColor="accent3" w:themeTint="BF"/>
        </w:tcBorders>
      </w:tcPr>
    </w:tblStylePr>
    <w:tblStylePr w:type="firstCol">
      <w:rPr>
        <w:b/>
        <w:bCs/>
      </w:rPr>
    </w:tblStylePr>
    <w:tblStylePr w:type="lastCol">
      <w:rPr>
        <w:b/>
        <w:bCs/>
      </w:rPr>
    </w:tblStylePr>
    <w:tblStylePr w:type="band1Vert">
      <w:tblPr/>
      <w:tcPr>
        <w:shd w:val="clear" w:color="auto" w:fill="CACACA" w:themeFill="accent3" w:themeFillTint="7F"/>
      </w:tcPr>
    </w:tblStylePr>
    <w:tblStylePr w:type="band1Horz">
      <w:tblPr/>
      <w:tcPr>
        <w:shd w:val="clear" w:color="auto" w:fill="CACACA" w:themeFill="accent3" w:themeFillTint="7F"/>
      </w:tcPr>
    </w:tblStylePr>
  </w:style>
  <w:style w:type="table" w:styleId="MediumGrid1-Accent4">
    <w:name w:val="Medium Grid 1 Accent 4"/>
    <w:basedOn w:val="TableNormal"/>
    <w:uiPriority w:val="98"/>
    <w:semiHidden/>
    <w:rsid w:val="00B12EF5"/>
    <w:tblPr>
      <w:tblStyleRowBandSize w:val="1"/>
      <w:tblStyleColBandSize w:val="1"/>
      <w:tblBorders>
        <w:top w:val="single" w:sz="8" w:space="0" w:color="9F9F9F" w:themeColor="accent4" w:themeTint="BF"/>
        <w:left w:val="single" w:sz="8" w:space="0" w:color="9F9F9F" w:themeColor="accent4" w:themeTint="BF"/>
        <w:bottom w:val="single" w:sz="8" w:space="0" w:color="9F9F9F" w:themeColor="accent4" w:themeTint="BF"/>
        <w:right w:val="single" w:sz="8" w:space="0" w:color="9F9F9F" w:themeColor="accent4" w:themeTint="BF"/>
        <w:insideH w:val="single" w:sz="8" w:space="0" w:color="9F9F9F" w:themeColor="accent4" w:themeTint="BF"/>
        <w:insideV w:val="single" w:sz="8" w:space="0" w:color="9F9F9F" w:themeColor="accent4" w:themeTint="BF"/>
      </w:tblBorders>
    </w:tblPr>
    <w:tcPr>
      <w:shd w:val="clear" w:color="auto" w:fill="DFDFDF" w:themeFill="accent4" w:themeFillTint="3F"/>
    </w:tcPr>
    <w:tblStylePr w:type="firstRow">
      <w:rPr>
        <w:b/>
        <w:bCs/>
      </w:rPr>
    </w:tblStylePr>
    <w:tblStylePr w:type="lastRow">
      <w:rPr>
        <w:b/>
        <w:bCs/>
      </w:rPr>
      <w:tblPr/>
      <w:tcPr>
        <w:tcBorders>
          <w:top w:val="single" w:sz="18" w:space="0" w:color="9F9F9F" w:themeColor="accent4" w:themeTint="BF"/>
        </w:tcBorders>
      </w:tcPr>
    </w:tblStylePr>
    <w:tblStylePr w:type="firstCol">
      <w:rPr>
        <w:b/>
        <w:bCs/>
      </w:rPr>
    </w:tblStylePr>
    <w:tblStylePr w:type="lastCol">
      <w:rPr>
        <w:b/>
        <w:bCs/>
      </w:rPr>
    </w:tblStylePr>
    <w:tblStylePr w:type="band1Vert">
      <w:tblPr/>
      <w:tcPr>
        <w:shd w:val="clear" w:color="auto" w:fill="BFBFBF" w:themeFill="accent4" w:themeFillTint="7F"/>
      </w:tcPr>
    </w:tblStylePr>
    <w:tblStylePr w:type="band1Horz">
      <w:tblPr/>
      <w:tcPr>
        <w:shd w:val="clear" w:color="auto" w:fill="BFBFBF" w:themeFill="accent4" w:themeFillTint="7F"/>
      </w:tcPr>
    </w:tblStylePr>
  </w:style>
  <w:style w:type="table" w:styleId="MediumGrid1-Accent5">
    <w:name w:val="Medium Grid 1 Accent 5"/>
    <w:basedOn w:val="TableNormal"/>
    <w:uiPriority w:val="98"/>
    <w:semiHidden/>
    <w:rsid w:val="00B12EF5"/>
    <w:tblPr>
      <w:tblStyleRowBandSize w:val="1"/>
      <w:tblStyleColBandSize w:val="1"/>
      <w:tblBorders>
        <w:top w:val="single" w:sz="8" w:space="0" w:color="878787" w:themeColor="accent5" w:themeTint="BF"/>
        <w:left w:val="single" w:sz="8" w:space="0" w:color="878787" w:themeColor="accent5" w:themeTint="BF"/>
        <w:bottom w:val="single" w:sz="8" w:space="0" w:color="878787" w:themeColor="accent5" w:themeTint="BF"/>
        <w:right w:val="single" w:sz="8" w:space="0" w:color="878787" w:themeColor="accent5" w:themeTint="BF"/>
        <w:insideH w:val="single" w:sz="8" w:space="0" w:color="878787" w:themeColor="accent5" w:themeTint="BF"/>
        <w:insideV w:val="single" w:sz="8" w:space="0" w:color="878787" w:themeColor="accent5" w:themeTint="BF"/>
      </w:tblBorders>
    </w:tblPr>
    <w:tcPr>
      <w:shd w:val="clear" w:color="auto" w:fill="D7D7D7" w:themeFill="accent5" w:themeFillTint="3F"/>
    </w:tcPr>
    <w:tblStylePr w:type="firstRow">
      <w:rPr>
        <w:b/>
        <w:bCs/>
      </w:rPr>
    </w:tblStylePr>
    <w:tblStylePr w:type="lastRow">
      <w:rPr>
        <w:b/>
        <w:bCs/>
      </w:rPr>
      <w:tblPr/>
      <w:tcPr>
        <w:tcBorders>
          <w:top w:val="single" w:sz="18" w:space="0" w:color="878787" w:themeColor="accent5" w:themeTint="BF"/>
        </w:tcBorders>
      </w:tcPr>
    </w:tblStylePr>
    <w:tblStylePr w:type="firstCol">
      <w:rPr>
        <w:b/>
        <w:bCs/>
      </w:rPr>
    </w:tblStylePr>
    <w:tblStylePr w:type="lastCol">
      <w:rPr>
        <w:b/>
        <w:bCs/>
      </w:rPr>
    </w:tblStylePr>
    <w:tblStylePr w:type="band1Vert">
      <w:tblPr/>
      <w:tcPr>
        <w:shd w:val="clear" w:color="auto" w:fill="AFAFAF" w:themeFill="accent5" w:themeFillTint="7F"/>
      </w:tcPr>
    </w:tblStylePr>
    <w:tblStylePr w:type="band1Horz">
      <w:tblPr/>
      <w:tcPr>
        <w:shd w:val="clear" w:color="auto" w:fill="AFAFAF" w:themeFill="accent5" w:themeFillTint="7F"/>
      </w:tcPr>
    </w:tblStylePr>
  </w:style>
  <w:style w:type="table" w:styleId="MediumGrid1-Accent6">
    <w:name w:val="Medium Grid 1 Accent 6"/>
    <w:basedOn w:val="TableNormal"/>
    <w:uiPriority w:val="98"/>
    <w:semiHidden/>
    <w:rsid w:val="00B12EF5"/>
    <w:tblPr>
      <w:tblStyleRowBandSize w:val="1"/>
      <w:tblStyleColBandSize w:val="1"/>
      <w:tblBorders>
        <w:top w:val="single" w:sz="8" w:space="0" w:color="797979" w:themeColor="accent6" w:themeTint="BF"/>
        <w:left w:val="single" w:sz="8" w:space="0" w:color="797979" w:themeColor="accent6" w:themeTint="BF"/>
        <w:bottom w:val="single" w:sz="8" w:space="0" w:color="797979" w:themeColor="accent6" w:themeTint="BF"/>
        <w:right w:val="single" w:sz="8" w:space="0" w:color="797979" w:themeColor="accent6" w:themeTint="BF"/>
        <w:insideH w:val="single" w:sz="8" w:space="0" w:color="797979" w:themeColor="accent6" w:themeTint="BF"/>
        <w:insideV w:val="single" w:sz="8" w:space="0" w:color="797979" w:themeColor="accent6" w:themeTint="BF"/>
      </w:tblBorders>
    </w:tblPr>
    <w:tcPr>
      <w:shd w:val="clear" w:color="auto" w:fill="D3D3D3" w:themeFill="accent6" w:themeFillTint="3F"/>
    </w:tcPr>
    <w:tblStylePr w:type="firstRow">
      <w:rPr>
        <w:b/>
        <w:bCs/>
      </w:rPr>
    </w:tblStylePr>
    <w:tblStylePr w:type="lastRow">
      <w:rPr>
        <w:b/>
        <w:bCs/>
      </w:rPr>
      <w:tblPr/>
      <w:tcPr>
        <w:tcBorders>
          <w:top w:val="single" w:sz="18" w:space="0" w:color="797979" w:themeColor="accent6" w:themeTint="BF"/>
        </w:tcBorders>
      </w:tcPr>
    </w:tblStylePr>
    <w:tblStylePr w:type="firstCol">
      <w:rPr>
        <w:b/>
        <w:bCs/>
      </w:rPr>
    </w:tblStylePr>
    <w:tblStylePr w:type="lastCol">
      <w:rPr>
        <w:b/>
        <w:bCs/>
      </w:rPr>
    </w:tblStylePr>
    <w:tblStylePr w:type="band1Vert">
      <w:tblPr/>
      <w:tcPr>
        <w:shd w:val="clear" w:color="auto" w:fill="A6A6A6" w:themeFill="accent6" w:themeFillTint="7F"/>
      </w:tcPr>
    </w:tblStylePr>
    <w:tblStylePr w:type="band1Horz">
      <w:tblPr/>
      <w:tcPr>
        <w:shd w:val="clear" w:color="auto" w:fill="A6A6A6" w:themeFill="accent6" w:themeFillTint="7F"/>
      </w:tcPr>
    </w:tblStylePr>
  </w:style>
  <w:style w:type="table" w:styleId="MediumGrid2">
    <w:name w:val="Medium Grid 2"/>
    <w:basedOn w:val="TableNormal"/>
    <w:uiPriority w:val="98"/>
    <w:semiHidden/>
    <w:rsid w:val="00B12EF5"/>
    <w:rPr>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98"/>
    <w:semiHidden/>
    <w:rsid w:val="00B12EF5"/>
    <w:rPr>
      <w:color w:val="000000" w:themeColor="text1"/>
    </w:rPr>
    <w:tblPr>
      <w:tblStyleRowBandSize w:val="1"/>
      <w:tblStyleColBandSize w:val="1"/>
      <w:tblBorders>
        <w:top w:val="single" w:sz="8" w:space="0" w:color="DDDDDD" w:themeColor="accent1"/>
        <w:left w:val="single" w:sz="8" w:space="0" w:color="DDDDDD" w:themeColor="accent1"/>
        <w:bottom w:val="single" w:sz="8" w:space="0" w:color="DDDDDD" w:themeColor="accent1"/>
        <w:right w:val="single" w:sz="8" w:space="0" w:color="DDDDDD" w:themeColor="accent1"/>
        <w:insideH w:val="single" w:sz="8" w:space="0" w:color="DDDDDD" w:themeColor="accent1"/>
        <w:insideV w:val="single" w:sz="8" w:space="0" w:color="DDDDDD" w:themeColor="accent1"/>
      </w:tblBorders>
    </w:tblPr>
    <w:tcPr>
      <w:shd w:val="clear" w:color="auto" w:fill="F6F6F6" w:themeFill="accent1" w:themeFillTint="3F"/>
    </w:tcPr>
    <w:tblStylePr w:type="firstRow">
      <w:rPr>
        <w:b/>
        <w:bCs/>
        <w:color w:val="000000" w:themeColor="text1"/>
      </w:rPr>
      <w:tblPr/>
      <w:tcPr>
        <w:shd w:val="clear" w:color="auto" w:fill="FBFBFB"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8F8F8" w:themeFill="accent1" w:themeFillTint="33"/>
      </w:tcPr>
    </w:tblStylePr>
    <w:tblStylePr w:type="band1Vert">
      <w:tblPr/>
      <w:tcPr>
        <w:shd w:val="clear" w:color="auto" w:fill="EEEEEE" w:themeFill="accent1" w:themeFillTint="7F"/>
      </w:tcPr>
    </w:tblStylePr>
    <w:tblStylePr w:type="band1Horz">
      <w:tblPr/>
      <w:tcPr>
        <w:tcBorders>
          <w:insideH w:val="single" w:sz="6" w:space="0" w:color="DDDDDD" w:themeColor="accent1"/>
          <w:insideV w:val="single" w:sz="6" w:space="0" w:color="DDDDDD" w:themeColor="accent1"/>
        </w:tcBorders>
        <w:shd w:val="clear" w:color="auto" w:fill="EEEEE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98"/>
    <w:semiHidden/>
    <w:rsid w:val="00B12EF5"/>
    <w:rPr>
      <w:color w:val="000000" w:themeColor="text1"/>
    </w:rPr>
    <w:tblPr>
      <w:tblStyleRowBandSize w:val="1"/>
      <w:tblStyleColBandSize w:val="1"/>
      <w:tblBorders>
        <w:top w:val="single" w:sz="8" w:space="0" w:color="B2B2B2" w:themeColor="accent2"/>
        <w:left w:val="single" w:sz="8" w:space="0" w:color="B2B2B2" w:themeColor="accent2"/>
        <w:bottom w:val="single" w:sz="8" w:space="0" w:color="B2B2B2" w:themeColor="accent2"/>
        <w:right w:val="single" w:sz="8" w:space="0" w:color="B2B2B2" w:themeColor="accent2"/>
        <w:insideH w:val="single" w:sz="8" w:space="0" w:color="B2B2B2" w:themeColor="accent2"/>
        <w:insideV w:val="single" w:sz="8" w:space="0" w:color="B2B2B2" w:themeColor="accent2"/>
      </w:tblBorders>
    </w:tblPr>
    <w:tcPr>
      <w:shd w:val="clear" w:color="auto" w:fill="EBEBEB" w:themeFill="accent2" w:themeFillTint="3F"/>
    </w:tcPr>
    <w:tblStylePr w:type="firstRow">
      <w:rPr>
        <w:b/>
        <w:bCs/>
        <w:color w:val="000000" w:themeColor="text1"/>
      </w:rPr>
      <w:tblPr/>
      <w:tcPr>
        <w:shd w:val="clear" w:color="auto" w:fill="F7F7F7"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FEFEF" w:themeFill="accent2" w:themeFillTint="33"/>
      </w:tcPr>
    </w:tblStylePr>
    <w:tblStylePr w:type="band1Vert">
      <w:tblPr/>
      <w:tcPr>
        <w:shd w:val="clear" w:color="auto" w:fill="D8D8D8" w:themeFill="accent2" w:themeFillTint="7F"/>
      </w:tcPr>
    </w:tblStylePr>
    <w:tblStylePr w:type="band1Horz">
      <w:tblPr/>
      <w:tcPr>
        <w:tcBorders>
          <w:insideH w:val="single" w:sz="6" w:space="0" w:color="B2B2B2" w:themeColor="accent2"/>
          <w:insideV w:val="single" w:sz="6" w:space="0" w:color="B2B2B2" w:themeColor="accent2"/>
        </w:tcBorders>
        <w:shd w:val="clear" w:color="auto" w:fill="D8D8D8"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98"/>
    <w:semiHidden/>
    <w:rsid w:val="00B12EF5"/>
    <w:rPr>
      <w:color w:val="000000" w:themeColor="text1"/>
    </w:rPr>
    <w:tblPr>
      <w:tblStyleRowBandSize w:val="1"/>
      <w:tblStyleColBandSize w:val="1"/>
      <w:tblBorders>
        <w:top w:val="single" w:sz="8" w:space="0" w:color="969696" w:themeColor="accent3"/>
        <w:left w:val="single" w:sz="8" w:space="0" w:color="969696" w:themeColor="accent3"/>
        <w:bottom w:val="single" w:sz="8" w:space="0" w:color="969696" w:themeColor="accent3"/>
        <w:right w:val="single" w:sz="8" w:space="0" w:color="969696" w:themeColor="accent3"/>
        <w:insideH w:val="single" w:sz="8" w:space="0" w:color="969696" w:themeColor="accent3"/>
        <w:insideV w:val="single" w:sz="8" w:space="0" w:color="969696" w:themeColor="accent3"/>
      </w:tblBorders>
    </w:tblPr>
    <w:tcPr>
      <w:shd w:val="clear" w:color="auto" w:fill="E5E5E5" w:themeFill="accent3" w:themeFillTint="3F"/>
    </w:tcPr>
    <w:tblStylePr w:type="firstRow">
      <w:rPr>
        <w:b/>
        <w:bCs/>
        <w:color w:val="000000" w:themeColor="text1"/>
      </w:rPr>
      <w:tblPr/>
      <w:tcPr>
        <w:shd w:val="clear" w:color="auto" w:fill="F4F4F4"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EAEA" w:themeFill="accent3" w:themeFillTint="33"/>
      </w:tcPr>
    </w:tblStylePr>
    <w:tblStylePr w:type="band1Vert">
      <w:tblPr/>
      <w:tcPr>
        <w:shd w:val="clear" w:color="auto" w:fill="CACACA" w:themeFill="accent3" w:themeFillTint="7F"/>
      </w:tcPr>
    </w:tblStylePr>
    <w:tblStylePr w:type="band1Horz">
      <w:tblPr/>
      <w:tcPr>
        <w:tcBorders>
          <w:insideH w:val="single" w:sz="6" w:space="0" w:color="969696" w:themeColor="accent3"/>
          <w:insideV w:val="single" w:sz="6" w:space="0" w:color="969696" w:themeColor="accent3"/>
        </w:tcBorders>
        <w:shd w:val="clear" w:color="auto" w:fill="CACACA"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98"/>
    <w:semiHidden/>
    <w:rsid w:val="00B12EF5"/>
    <w:rPr>
      <w:color w:val="000000" w:themeColor="text1"/>
    </w:rPr>
    <w:tblPr>
      <w:tblStyleRowBandSize w:val="1"/>
      <w:tblStyleColBandSize w:val="1"/>
      <w:tblBorders>
        <w:top w:val="single" w:sz="8" w:space="0" w:color="808080" w:themeColor="accent4"/>
        <w:left w:val="single" w:sz="8" w:space="0" w:color="808080" w:themeColor="accent4"/>
        <w:bottom w:val="single" w:sz="8" w:space="0" w:color="808080" w:themeColor="accent4"/>
        <w:right w:val="single" w:sz="8" w:space="0" w:color="808080" w:themeColor="accent4"/>
        <w:insideH w:val="single" w:sz="8" w:space="0" w:color="808080" w:themeColor="accent4"/>
        <w:insideV w:val="single" w:sz="8" w:space="0" w:color="808080" w:themeColor="accent4"/>
      </w:tblBorders>
    </w:tblPr>
    <w:tcPr>
      <w:shd w:val="clear" w:color="auto" w:fill="DFDFDF" w:themeFill="accent4" w:themeFillTint="3F"/>
    </w:tcPr>
    <w:tblStylePr w:type="firstRow">
      <w:rPr>
        <w:b/>
        <w:bCs/>
        <w:color w:val="000000" w:themeColor="text1"/>
      </w:rPr>
      <w:tblPr/>
      <w:tcPr>
        <w:shd w:val="clear" w:color="auto" w:fill="F2F2F2"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E5E5" w:themeFill="accent4" w:themeFillTint="33"/>
      </w:tcPr>
    </w:tblStylePr>
    <w:tblStylePr w:type="band1Vert">
      <w:tblPr/>
      <w:tcPr>
        <w:shd w:val="clear" w:color="auto" w:fill="BFBFBF" w:themeFill="accent4" w:themeFillTint="7F"/>
      </w:tcPr>
    </w:tblStylePr>
    <w:tblStylePr w:type="band1Horz">
      <w:tblPr/>
      <w:tcPr>
        <w:tcBorders>
          <w:insideH w:val="single" w:sz="6" w:space="0" w:color="808080" w:themeColor="accent4"/>
          <w:insideV w:val="single" w:sz="6" w:space="0" w:color="808080" w:themeColor="accent4"/>
        </w:tcBorders>
        <w:shd w:val="clear" w:color="auto" w:fill="BFBFBF"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98"/>
    <w:semiHidden/>
    <w:rsid w:val="00B12EF5"/>
    <w:rPr>
      <w:color w:val="000000" w:themeColor="text1"/>
    </w:rPr>
    <w:tblPr>
      <w:tblStyleRowBandSize w:val="1"/>
      <w:tblStyleColBandSize w:val="1"/>
      <w:tblBorders>
        <w:top w:val="single" w:sz="8" w:space="0" w:color="5F5F5F" w:themeColor="accent5"/>
        <w:left w:val="single" w:sz="8" w:space="0" w:color="5F5F5F" w:themeColor="accent5"/>
        <w:bottom w:val="single" w:sz="8" w:space="0" w:color="5F5F5F" w:themeColor="accent5"/>
        <w:right w:val="single" w:sz="8" w:space="0" w:color="5F5F5F" w:themeColor="accent5"/>
        <w:insideH w:val="single" w:sz="8" w:space="0" w:color="5F5F5F" w:themeColor="accent5"/>
        <w:insideV w:val="single" w:sz="8" w:space="0" w:color="5F5F5F" w:themeColor="accent5"/>
      </w:tblBorders>
    </w:tblPr>
    <w:tcPr>
      <w:shd w:val="clear" w:color="auto" w:fill="D7D7D7" w:themeFill="accent5" w:themeFillTint="3F"/>
    </w:tcPr>
    <w:tblStylePr w:type="firstRow">
      <w:rPr>
        <w:b/>
        <w:bCs/>
        <w:color w:val="000000" w:themeColor="text1"/>
      </w:rPr>
      <w:tblPr/>
      <w:tcPr>
        <w:shd w:val="clear" w:color="auto" w:fill="EFEFEF"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FDFDF" w:themeFill="accent5" w:themeFillTint="33"/>
      </w:tcPr>
    </w:tblStylePr>
    <w:tblStylePr w:type="band1Vert">
      <w:tblPr/>
      <w:tcPr>
        <w:shd w:val="clear" w:color="auto" w:fill="AFAFAF" w:themeFill="accent5" w:themeFillTint="7F"/>
      </w:tcPr>
    </w:tblStylePr>
    <w:tblStylePr w:type="band1Horz">
      <w:tblPr/>
      <w:tcPr>
        <w:tcBorders>
          <w:insideH w:val="single" w:sz="6" w:space="0" w:color="5F5F5F" w:themeColor="accent5"/>
          <w:insideV w:val="single" w:sz="6" w:space="0" w:color="5F5F5F" w:themeColor="accent5"/>
        </w:tcBorders>
        <w:shd w:val="clear" w:color="auto" w:fill="AFAFAF"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98"/>
    <w:semiHidden/>
    <w:rsid w:val="00B12EF5"/>
    <w:rPr>
      <w:color w:val="000000" w:themeColor="text1"/>
    </w:rPr>
    <w:tblPr>
      <w:tblStyleRowBandSize w:val="1"/>
      <w:tblStyleColBandSize w:val="1"/>
      <w:tblBorders>
        <w:top w:val="single" w:sz="8" w:space="0" w:color="4D4D4D" w:themeColor="accent6"/>
        <w:left w:val="single" w:sz="8" w:space="0" w:color="4D4D4D" w:themeColor="accent6"/>
        <w:bottom w:val="single" w:sz="8" w:space="0" w:color="4D4D4D" w:themeColor="accent6"/>
        <w:right w:val="single" w:sz="8" w:space="0" w:color="4D4D4D" w:themeColor="accent6"/>
        <w:insideH w:val="single" w:sz="8" w:space="0" w:color="4D4D4D" w:themeColor="accent6"/>
        <w:insideV w:val="single" w:sz="8" w:space="0" w:color="4D4D4D" w:themeColor="accent6"/>
      </w:tblBorders>
    </w:tblPr>
    <w:tcPr>
      <w:shd w:val="clear" w:color="auto" w:fill="D3D3D3" w:themeFill="accent6" w:themeFillTint="3F"/>
    </w:tcPr>
    <w:tblStylePr w:type="firstRow">
      <w:rPr>
        <w:b/>
        <w:bCs/>
        <w:color w:val="000000" w:themeColor="text1"/>
      </w:rPr>
      <w:tblPr/>
      <w:tcPr>
        <w:shd w:val="clear" w:color="auto" w:fill="EDEDED"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DBDB" w:themeFill="accent6" w:themeFillTint="33"/>
      </w:tcPr>
    </w:tblStylePr>
    <w:tblStylePr w:type="band1Vert">
      <w:tblPr/>
      <w:tcPr>
        <w:shd w:val="clear" w:color="auto" w:fill="A6A6A6" w:themeFill="accent6" w:themeFillTint="7F"/>
      </w:tcPr>
    </w:tblStylePr>
    <w:tblStylePr w:type="band1Horz">
      <w:tblPr/>
      <w:tcPr>
        <w:tcBorders>
          <w:insideH w:val="single" w:sz="6" w:space="0" w:color="4D4D4D" w:themeColor="accent6"/>
          <w:insideV w:val="single" w:sz="6" w:space="0" w:color="4D4D4D" w:themeColor="accent6"/>
        </w:tcBorders>
        <w:shd w:val="clear" w:color="auto" w:fill="A6A6A6" w:themeFill="accent6" w:themeFillTint="7F"/>
      </w:tcPr>
    </w:tblStylePr>
    <w:tblStylePr w:type="nwCell">
      <w:tblPr/>
      <w:tcPr>
        <w:shd w:val="clear" w:color="auto" w:fill="FFFFFF" w:themeFill="background1"/>
      </w:tcPr>
    </w:tblStylePr>
  </w:style>
  <w:style w:type="table" w:styleId="MediumGrid3">
    <w:name w:val="Medium Grid 3"/>
    <w:basedOn w:val="TableNormal"/>
    <w:uiPriority w:val="98"/>
    <w:semiHidden/>
    <w:rsid w:val="00B12EF5"/>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98"/>
    <w:semiHidden/>
    <w:rsid w:val="00B12EF5"/>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6F6F6"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DDDDD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DDDDD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DDDDD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DDDDD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EEEEE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EEEEEE" w:themeFill="accent1" w:themeFillTint="7F"/>
      </w:tcPr>
    </w:tblStylePr>
  </w:style>
  <w:style w:type="table" w:styleId="MediumGrid3-Accent2">
    <w:name w:val="Medium Grid 3 Accent 2"/>
    <w:basedOn w:val="TableNormal"/>
    <w:uiPriority w:val="98"/>
    <w:semiHidden/>
    <w:rsid w:val="00B12EF5"/>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BEBE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B2B2B2"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B2B2B2"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B2B2B2"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B2B2B2"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8D8D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8D8D8" w:themeFill="accent2" w:themeFillTint="7F"/>
      </w:tcPr>
    </w:tblStylePr>
  </w:style>
  <w:style w:type="table" w:styleId="MediumGrid3-Accent3">
    <w:name w:val="Medium Grid 3 Accent 3"/>
    <w:basedOn w:val="TableNormal"/>
    <w:uiPriority w:val="98"/>
    <w:semiHidden/>
    <w:rsid w:val="00B12EF5"/>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5E5E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69696"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69696"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69696"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69696"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ACACA"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ACACA" w:themeFill="accent3" w:themeFillTint="7F"/>
      </w:tcPr>
    </w:tblStylePr>
  </w:style>
  <w:style w:type="table" w:styleId="MediumGrid3-Accent4">
    <w:name w:val="Medium Grid 3 Accent 4"/>
    <w:basedOn w:val="TableNormal"/>
    <w:uiPriority w:val="98"/>
    <w:semiHidden/>
    <w:rsid w:val="00B12EF5"/>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FDF"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808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808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808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808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FBF"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FBF" w:themeFill="accent4" w:themeFillTint="7F"/>
      </w:tcPr>
    </w:tblStylePr>
  </w:style>
  <w:style w:type="table" w:styleId="MediumGrid3-Accent5">
    <w:name w:val="Medium Grid 3 Accent 5"/>
    <w:basedOn w:val="TableNormal"/>
    <w:uiPriority w:val="98"/>
    <w:semiHidden/>
    <w:rsid w:val="00B12EF5"/>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7D7D7"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F5F5F"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F5F5F"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F5F5F"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F5F5F"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FAFAF"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FAFAF" w:themeFill="accent5" w:themeFillTint="7F"/>
      </w:tcPr>
    </w:tblStylePr>
  </w:style>
  <w:style w:type="table" w:styleId="MediumGrid3-Accent6">
    <w:name w:val="Medium Grid 3 Accent 6"/>
    <w:basedOn w:val="TableNormal"/>
    <w:uiPriority w:val="98"/>
    <w:semiHidden/>
    <w:rsid w:val="00B12EF5"/>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3D3"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D4D4D"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D4D4D"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D4D4D"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D4D4D"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6A6A6"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6A6A6" w:themeFill="accent6" w:themeFillTint="7F"/>
      </w:tcPr>
    </w:tblStylePr>
  </w:style>
  <w:style w:type="table" w:styleId="MediumList1">
    <w:name w:val="Medium List 1"/>
    <w:basedOn w:val="TableNormal"/>
    <w:uiPriority w:val="98"/>
    <w:semiHidden/>
    <w:rsid w:val="00B12EF5"/>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000000"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98"/>
    <w:semiHidden/>
    <w:rsid w:val="00B12EF5"/>
    <w:rPr>
      <w:color w:val="000000" w:themeColor="text1"/>
    </w:rPr>
    <w:tblPr>
      <w:tblStyleRowBandSize w:val="1"/>
      <w:tblStyleColBandSize w:val="1"/>
      <w:tblBorders>
        <w:top w:val="single" w:sz="8" w:space="0" w:color="DDDDDD" w:themeColor="accent1"/>
        <w:bottom w:val="single" w:sz="8" w:space="0" w:color="DDDDDD" w:themeColor="accent1"/>
      </w:tblBorders>
    </w:tblPr>
    <w:tblStylePr w:type="firstRow">
      <w:rPr>
        <w:rFonts w:asciiTheme="majorHAnsi" w:eastAsiaTheme="majorEastAsia" w:hAnsiTheme="majorHAnsi" w:cstheme="majorBidi"/>
      </w:rPr>
      <w:tblPr/>
      <w:tcPr>
        <w:tcBorders>
          <w:top w:val="nil"/>
          <w:bottom w:val="single" w:sz="8" w:space="0" w:color="DDDDDD" w:themeColor="accent1"/>
        </w:tcBorders>
      </w:tcPr>
    </w:tblStylePr>
    <w:tblStylePr w:type="lastRow">
      <w:rPr>
        <w:b/>
        <w:bCs/>
        <w:color w:val="000000" w:themeColor="text2"/>
      </w:rPr>
      <w:tblPr/>
      <w:tcPr>
        <w:tcBorders>
          <w:top w:val="single" w:sz="8" w:space="0" w:color="DDDDDD" w:themeColor="accent1"/>
          <w:bottom w:val="single" w:sz="8" w:space="0" w:color="DDDDDD" w:themeColor="accent1"/>
        </w:tcBorders>
      </w:tcPr>
    </w:tblStylePr>
    <w:tblStylePr w:type="firstCol">
      <w:rPr>
        <w:b/>
        <w:bCs/>
      </w:rPr>
    </w:tblStylePr>
    <w:tblStylePr w:type="lastCol">
      <w:rPr>
        <w:b/>
        <w:bCs/>
      </w:rPr>
      <w:tblPr/>
      <w:tcPr>
        <w:tcBorders>
          <w:top w:val="single" w:sz="8" w:space="0" w:color="DDDDDD" w:themeColor="accent1"/>
          <w:bottom w:val="single" w:sz="8" w:space="0" w:color="DDDDDD" w:themeColor="accent1"/>
        </w:tcBorders>
      </w:tcPr>
    </w:tblStylePr>
    <w:tblStylePr w:type="band1Vert">
      <w:tblPr/>
      <w:tcPr>
        <w:shd w:val="clear" w:color="auto" w:fill="F6F6F6" w:themeFill="accent1" w:themeFillTint="3F"/>
      </w:tcPr>
    </w:tblStylePr>
    <w:tblStylePr w:type="band1Horz">
      <w:tblPr/>
      <w:tcPr>
        <w:shd w:val="clear" w:color="auto" w:fill="F6F6F6" w:themeFill="accent1" w:themeFillTint="3F"/>
      </w:tcPr>
    </w:tblStylePr>
  </w:style>
  <w:style w:type="table" w:styleId="MediumList1-Accent2">
    <w:name w:val="Medium List 1 Accent 2"/>
    <w:basedOn w:val="TableNormal"/>
    <w:uiPriority w:val="98"/>
    <w:semiHidden/>
    <w:rsid w:val="00B12EF5"/>
    <w:rPr>
      <w:color w:val="000000" w:themeColor="text1"/>
    </w:rPr>
    <w:tblPr>
      <w:tblStyleRowBandSize w:val="1"/>
      <w:tblStyleColBandSize w:val="1"/>
      <w:tblBorders>
        <w:top w:val="single" w:sz="8" w:space="0" w:color="B2B2B2" w:themeColor="accent2"/>
        <w:bottom w:val="single" w:sz="8" w:space="0" w:color="B2B2B2" w:themeColor="accent2"/>
      </w:tblBorders>
    </w:tblPr>
    <w:tblStylePr w:type="firstRow">
      <w:rPr>
        <w:rFonts w:asciiTheme="majorHAnsi" w:eastAsiaTheme="majorEastAsia" w:hAnsiTheme="majorHAnsi" w:cstheme="majorBidi"/>
      </w:rPr>
      <w:tblPr/>
      <w:tcPr>
        <w:tcBorders>
          <w:top w:val="nil"/>
          <w:bottom w:val="single" w:sz="8" w:space="0" w:color="B2B2B2" w:themeColor="accent2"/>
        </w:tcBorders>
      </w:tcPr>
    </w:tblStylePr>
    <w:tblStylePr w:type="lastRow">
      <w:rPr>
        <w:b/>
        <w:bCs/>
        <w:color w:val="000000" w:themeColor="text2"/>
      </w:rPr>
      <w:tblPr/>
      <w:tcPr>
        <w:tcBorders>
          <w:top w:val="single" w:sz="8" w:space="0" w:color="B2B2B2" w:themeColor="accent2"/>
          <w:bottom w:val="single" w:sz="8" w:space="0" w:color="B2B2B2" w:themeColor="accent2"/>
        </w:tcBorders>
      </w:tcPr>
    </w:tblStylePr>
    <w:tblStylePr w:type="firstCol">
      <w:rPr>
        <w:b/>
        <w:bCs/>
      </w:rPr>
    </w:tblStylePr>
    <w:tblStylePr w:type="lastCol">
      <w:rPr>
        <w:b/>
        <w:bCs/>
      </w:rPr>
      <w:tblPr/>
      <w:tcPr>
        <w:tcBorders>
          <w:top w:val="single" w:sz="8" w:space="0" w:color="B2B2B2" w:themeColor="accent2"/>
          <w:bottom w:val="single" w:sz="8" w:space="0" w:color="B2B2B2" w:themeColor="accent2"/>
        </w:tcBorders>
      </w:tcPr>
    </w:tblStylePr>
    <w:tblStylePr w:type="band1Vert">
      <w:tblPr/>
      <w:tcPr>
        <w:shd w:val="clear" w:color="auto" w:fill="EBEBEB" w:themeFill="accent2" w:themeFillTint="3F"/>
      </w:tcPr>
    </w:tblStylePr>
    <w:tblStylePr w:type="band1Horz">
      <w:tblPr/>
      <w:tcPr>
        <w:shd w:val="clear" w:color="auto" w:fill="EBEBEB" w:themeFill="accent2" w:themeFillTint="3F"/>
      </w:tcPr>
    </w:tblStylePr>
  </w:style>
  <w:style w:type="table" w:styleId="MediumList1-Accent3">
    <w:name w:val="Medium List 1 Accent 3"/>
    <w:basedOn w:val="TableNormal"/>
    <w:uiPriority w:val="98"/>
    <w:semiHidden/>
    <w:rsid w:val="00B12EF5"/>
    <w:rPr>
      <w:color w:val="000000" w:themeColor="text1"/>
    </w:rPr>
    <w:tblPr>
      <w:tblStyleRowBandSize w:val="1"/>
      <w:tblStyleColBandSize w:val="1"/>
      <w:tblBorders>
        <w:top w:val="single" w:sz="8" w:space="0" w:color="969696" w:themeColor="accent3"/>
        <w:bottom w:val="single" w:sz="8" w:space="0" w:color="969696" w:themeColor="accent3"/>
      </w:tblBorders>
    </w:tblPr>
    <w:tblStylePr w:type="firstRow">
      <w:rPr>
        <w:rFonts w:asciiTheme="majorHAnsi" w:eastAsiaTheme="majorEastAsia" w:hAnsiTheme="majorHAnsi" w:cstheme="majorBidi"/>
      </w:rPr>
      <w:tblPr/>
      <w:tcPr>
        <w:tcBorders>
          <w:top w:val="nil"/>
          <w:bottom w:val="single" w:sz="8" w:space="0" w:color="969696" w:themeColor="accent3"/>
        </w:tcBorders>
      </w:tcPr>
    </w:tblStylePr>
    <w:tblStylePr w:type="lastRow">
      <w:rPr>
        <w:b/>
        <w:bCs/>
        <w:color w:val="000000" w:themeColor="text2"/>
      </w:rPr>
      <w:tblPr/>
      <w:tcPr>
        <w:tcBorders>
          <w:top w:val="single" w:sz="8" w:space="0" w:color="969696" w:themeColor="accent3"/>
          <w:bottom w:val="single" w:sz="8" w:space="0" w:color="969696" w:themeColor="accent3"/>
        </w:tcBorders>
      </w:tcPr>
    </w:tblStylePr>
    <w:tblStylePr w:type="firstCol">
      <w:rPr>
        <w:b/>
        <w:bCs/>
      </w:rPr>
    </w:tblStylePr>
    <w:tblStylePr w:type="lastCol">
      <w:rPr>
        <w:b/>
        <w:bCs/>
      </w:rPr>
      <w:tblPr/>
      <w:tcPr>
        <w:tcBorders>
          <w:top w:val="single" w:sz="8" w:space="0" w:color="969696" w:themeColor="accent3"/>
          <w:bottom w:val="single" w:sz="8" w:space="0" w:color="969696" w:themeColor="accent3"/>
        </w:tcBorders>
      </w:tcPr>
    </w:tblStylePr>
    <w:tblStylePr w:type="band1Vert">
      <w:tblPr/>
      <w:tcPr>
        <w:shd w:val="clear" w:color="auto" w:fill="E5E5E5" w:themeFill="accent3" w:themeFillTint="3F"/>
      </w:tcPr>
    </w:tblStylePr>
    <w:tblStylePr w:type="band1Horz">
      <w:tblPr/>
      <w:tcPr>
        <w:shd w:val="clear" w:color="auto" w:fill="E5E5E5" w:themeFill="accent3" w:themeFillTint="3F"/>
      </w:tcPr>
    </w:tblStylePr>
  </w:style>
  <w:style w:type="table" w:styleId="MediumList1-Accent4">
    <w:name w:val="Medium List 1 Accent 4"/>
    <w:basedOn w:val="TableNormal"/>
    <w:uiPriority w:val="98"/>
    <w:semiHidden/>
    <w:rsid w:val="00B12EF5"/>
    <w:rPr>
      <w:color w:val="000000" w:themeColor="text1"/>
    </w:rPr>
    <w:tblPr>
      <w:tblStyleRowBandSize w:val="1"/>
      <w:tblStyleColBandSize w:val="1"/>
      <w:tblBorders>
        <w:top w:val="single" w:sz="8" w:space="0" w:color="808080" w:themeColor="accent4"/>
        <w:bottom w:val="single" w:sz="8" w:space="0" w:color="808080" w:themeColor="accent4"/>
      </w:tblBorders>
    </w:tblPr>
    <w:tblStylePr w:type="firstRow">
      <w:rPr>
        <w:rFonts w:asciiTheme="majorHAnsi" w:eastAsiaTheme="majorEastAsia" w:hAnsiTheme="majorHAnsi" w:cstheme="majorBidi"/>
      </w:rPr>
      <w:tblPr/>
      <w:tcPr>
        <w:tcBorders>
          <w:top w:val="nil"/>
          <w:bottom w:val="single" w:sz="8" w:space="0" w:color="808080" w:themeColor="accent4"/>
        </w:tcBorders>
      </w:tcPr>
    </w:tblStylePr>
    <w:tblStylePr w:type="lastRow">
      <w:rPr>
        <w:b/>
        <w:bCs/>
        <w:color w:val="000000" w:themeColor="text2"/>
      </w:rPr>
      <w:tblPr/>
      <w:tcPr>
        <w:tcBorders>
          <w:top w:val="single" w:sz="8" w:space="0" w:color="808080" w:themeColor="accent4"/>
          <w:bottom w:val="single" w:sz="8" w:space="0" w:color="808080" w:themeColor="accent4"/>
        </w:tcBorders>
      </w:tcPr>
    </w:tblStylePr>
    <w:tblStylePr w:type="firstCol">
      <w:rPr>
        <w:b/>
        <w:bCs/>
      </w:rPr>
    </w:tblStylePr>
    <w:tblStylePr w:type="lastCol">
      <w:rPr>
        <w:b/>
        <w:bCs/>
      </w:rPr>
      <w:tblPr/>
      <w:tcPr>
        <w:tcBorders>
          <w:top w:val="single" w:sz="8" w:space="0" w:color="808080" w:themeColor="accent4"/>
          <w:bottom w:val="single" w:sz="8" w:space="0" w:color="808080" w:themeColor="accent4"/>
        </w:tcBorders>
      </w:tcPr>
    </w:tblStylePr>
    <w:tblStylePr w:type="band1Vert">
      <w:tblPr/>
      <w:tcPr>
        <w:shd w:val="clear" w:color="auto" w:fill="DFDFDF" w:themeFill="accent4" w:themeFillTint="3F"/>
      </w:tcPr>
    </w:tblStylePr>
    <w:tblStylePr w:type="band1Horz">
      <w:tblPr/>
      <w:tcPr>
        <w:shd w:val="clear" w:color="auto" w:fill="DFDFDF" w:themeFill="accent4" w:themeFillTint="3F"/>
      </w:tcPr>
    </w:tblStylePr>
  </w:style>
  <w:style w:type="table" w:styleId="MediumList1-Accent5">
    <w:name w:val="Medium List 1 Accent 5"/>
    <w:basedOn w:val="TableNormal"/>
    <w:uiPriority w:val="98"/>
    <w:semiHidden/>
    <w:rsid w:val="00B12EF5"/>
    <w:rPr>
      <w:color w:val="000000" w:themeColor="text1"/>
    </w:rPr>
    <w:tblPr>
      <w:tblStyleRowBandSize w:val="1"/>
      <w:tblStyleColBandSize w:val="1"/>
      <w:tblBorders>
        <w:top w:val="single" w:sz="8" w:space="0" w:color="5F5F5F" w:themeColor="accent5"/>
        <w:bottom w:val="single" w:sz="8" w:space="0" w:color="5F5F5F" w:themeColor="accent5"/>
      </w:tblBorders>
    </w:tblPr>
    <w:tblStylePr w:type="firstRow">
      <w:rPr>
        <w:rFonts w:asciiTheme="majorHAnsi" w:eastAsiaTheme="majorEastAsia" w:hAnsiTheme="majorHAnsi" w:cstheme="majorBidi"/>
      </w:rPr>
      <w:tblPr/>
      <w:tcPr>
        <w:tcBorders>
          <w:top w:val="nil"/>
          <w:bottom w:val="single" w:sz="8" w:space="0" w:color="5F5F5F" w:themeColor="accent5"/>
        </w:tcBorders>
      </w:tcPr>
    </w:tblStylePr>
    <w:tblStylePr w:type="lastRow">
      <w:rPr>
        <w:b/>
        <w:bCs/>
        <w:color w:val="000000" w:themeColor="text2"/>
      </w:rPr>
      <w:tblPr/>
      <w:tcPr>
        <w:tcBorders>
          <w:top w:val="single" w:sz="8" w:space="0" w:color="5F5F5F" w:themeColor="accent5"/>
          <w:bottom w:val="single" w:sz="8" w:space="0" w:color="5F5F5F" w:themeColor="accent5"/>
        </w:tcBorders>
      </w:tcPr>
    </w:tblStylePr>
    <w:tblStylePr w:type="firstCol">
      <w:rPr>
        <w:b/>
        <w:bCs/>
      </w:rPr>
    </w:tblStylePr>
    <w:tblStylePr w:type="lastCol">
      <w:rPr>
        <w:b/>
        <w:bCs/>
      </w:rPr>
      <w:tblPr/>
      <w:tcPr>
        <w:tcBorders>
          <w:top w:val="single" w:sz="8" w:space="0" w:color="5F5F5F" w:themeColor="accent5"/>
          <w:bottom w:val="single" w:sz="8" w:space="0" w:color="5F5F5F" w:themeColor="accent5"/>
        </w:tcBorders>
      </w:tcPr>
    </w:tblStylePr>
    <w:tblStylePr w:type="band1Vert">
      <w:tblPr/>
      <w:tcPr>
        <w:shd w:val="clear" w:color="auto" w:fill="D7D7D7" w:themeFill="accent5" w:themeFillTint="3F"/>
      </w:tcPr>
    </w:tblStylePr>
    <w:tblStylePr w:type="band1Horz">
      <w:tblPr/>
      <w:tcPr>
        <w:shd w:val="clear" w:color="auto" w:fill="D7D7D7" w:themeFill="accent5" w:themeFillTint="3F"/>
      </w:tcPr>
    </w:tblStylePr>
  </w:style>
  <w:style w:type="table" w:styleId="MediumList1-Accent6">
    <w:name w:val="Medium List 1 Accent 6"/>
    <w:basedOn w:val="TableNormal"/>
    <w:uiPriority w:val="98"/>
    <w:semiHidden/>
    <w:rsid w:val="00B12EF5"/>
    <w:rPr>
      <w:color w:val="000000" w:themeColor="text1"/>
    </w:rPr>
    <w:tblPr>
      <w:tblStyleRowBandSize w:val="1"/>
      <w:tblStyleColBandSize w:val="1"/>
      <w:tblBorders>
        <w:top w:val="single" w:sz="8" w:space="0" w:color="4D4D4D" w:themeColor="accent6"/>
        <w:bottom w:val="single" w:sz="8" w:space="0" w:color="4D4D4D" w:themeColor="accent6"/>
      </w:tblBorders>
    </w:tblPr>
    <w:tblStylePr w:type="firstRow">
      <w:rPr>
        <w:rFonts w:asciiTheme="majorHAnsi" w:eastAsiaTheme="majorEastAsia" w:hAnsiTheme="majorHAnsi" w:cstheme="majorBidi"/>
      </w:rPr>
      <w:tblPr/>
      <w:tcPr>
        <w:tcBorders>
          <w:top w:val="nil"/>
          <w:bottom w:val="single" w:sz="8" w:space="0" w:color="4D4D4D" w:themeColor="accent6"/>
        </w:tcBorders>
      </w:tcPr>
    </w:tblStylePr>
    <w:tblStylePr w:type="lastRow">
      <w:rPr>
        <w:b/>
        <w:bCs/>
        <w:color w:val="000000" w:themeColor="text2"/>
      </w:rPr>
      <w:tblPr/>
      <w:tcPr>
        <w:tcBorders>
          <w:top w:val="single" w:sz="8" w:space="0" w:color="4D4D4D" w:themeColor="accent6"/>
          <w:bottom w:val="single" w:sz="8" w:space="0" w:color="4D4D4D" w:themeColor="accent6"/>
        </w:tcBorders>
      </w:tcPr>
    </w:tblStylePr>
    <w:tblStylePr w:type="firstCol">
      <w:rPr>
        <w:b/>
        <w:bCs/>
      </w:rPr>
    </w:tblStylePr>
    <w:tblStylePr w:type="lastCol">
      <w:rPr>
        <w:b/>
        <w:bCs/>
      </w:rPr>
      <w:tblPr/>
      <w:tcPr>
        <w:tcBorders>
          <w:top w:val="single" w:sz="8" w:space="0" w:color="4D4D4D" w:themeColor="accent6"/>
          <w:bottom w:val="single" w:sz="8" w:space="0" w:color="4D4D4D" w:themeColor="accent6"/>
        </w:tcBorders>
      </w:tcPr>
    </w:tblStylePr>
    <w:tblStylePr w:type="band1Vert">
      <w:tblPr/>
      <w:tcPr>
        <w:shd w:val="clear" w:color="auto" w:fill="D3D3D3" w:themeFill="accent6" w:themeFillTint="3F"/>
      </w:tcPr>
    </w:tblStylePr>
    <w:tblStylePr w:type="band1Horz">
      <w:tblPr/>
      <w:tcPr>
        <w:shd w:val="clear" w:color="auto" w:fill="D3D3D3" w:themeFill="accent6" w:themeFillTint="3F"/>
      </w:tcPr>
    </w:tblStylePr>
  </w:style>
  <w:style w:type="table" w:styleId="MediumList2">
    <w:name w:val="Medium List 2"/>
    <w:basedOn w:val="TableNormal"/>
    <w:uiPriority w:val="98"/>
    <w:semiHidden/>
    <w:rsid w:val="00B12EF5"/>
    <w:rPr>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98"/>
    <w:semiHidden/>
    <w:rsid w:val="00B12EF5"/>
    <w:rPr>
      <w:color w:val="000000" w:themeColor="text1"/>
    </w:rPr>
    <w:tblPr>
      <w:tblStyleRowBandSize w:val="1"/>
      <w:tblStyleColBandSize w:val="1"/>
      <w:tblBorders>
        <w:top w:val="single" w:sz="8" w:space="0" w:color="DDDDDD" w:themeColor="accent1"/>
        <w:left w:val="single" w:sz="8" w:space="0" w:color="DDDDDD" w:themeColor="accent1"/>
        <w:bottom w:val="single" w:sz="8" w:space="0" w:color="DDDDDD" w:themeColor="accent1"/>
        <w:right w:val="single" w:sz="8" w:space="0" w:color="DDDDDD" w:themeColor="accent1"/>
      </w:tblBorders>
    </w:tblPr>
    <w:tblStylePr w:type="firstRow">
      <w:rPr>
        <w:sz w:val="24"/>
        <w:szCs w:val="24"/>
      </w:rPr>
      <w:tblPr/>
      <w:tcPr>
        <w:tcBorders>
          <w:top w:val="nil"/>
          <w:left w:val="nil"/>
          <w:bottom w:val="single" w:sz="24" w:space="0" w:color="DDDDDD" w:themeColor="accent1"/>
          <w:right w:val="nil"/>
          <w:insideH w:val="nil"/>
          <w:insideV w:val="nil"/>
        </w:tcBorders>
        <w:shd w:val="clear" w:color="auto" w:fill="FFFFFF" w:themeFill="background1"/>
      </w:tcPr>
    </w:tblStylePr>
    <w:tblStylePr w:type="lastRow">
      <w:tblPr/>
      <w:tcPr>
        <w:tcBorders>
          <w:top w:val="single" w:sz="8" w:space="0" w:color="DDDDD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DDDDDD" w:themeColor="accent1"/>
          <w:insideH w:val="nil"/>
          <w:insideV w:val="nil"/>
        </w:tcBorders>
        <w:shd w:val="clear" w:color="auto" w:fill="FFFFFF" w:themeFill="background1"/>
      </w:tcPr>
    </w:tblStylePr>
    <w:tblStylePr w:type="lastCol">
      <w:tblPr/>
      <w:tcPr>
        <w:tcBorders>
          <w:top w:val="nil"/>
          <w:left w:val="single" w:sz="8" w:space="0" w:color="DDDDD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6F6F6" w:themeFill="accent1" w:themeFillTint="3F"/>
      </w:tcPr>
    </w:tblStylePr>
    <w:tblStylePr w:type="band1Horz">
      <w:tblPr/>
      <w:tcPr>
        <w:tcBorders>
          <w:top w:val="nil"/>
          <w:bottom w:val="nil"/>
          <w:insideH w:val="nil"/>
          <w:insideV w:val="nil"/>
        </w:tcBorders>
        <w:shd w:val="clear" w:color="auto" w:fill="F6F6F6"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98"/>
    <w:semiHidden/>
    <w:rsid w:val="00B12EF5"/>
    <w:rPr>
      <w:color w:val="000000" w:themeColor="text1"/>
    </w:rPr>
    <w:tblPr>
      <w:tblStyleRowBandSize w:val="1"/>
      <w:tblStyleColBandSize w:val="1"/>
      <w:tblBorders>
        <w:top w:val="single" w:sz="8" w:space="0" w:color="B2B2B2" w:themeColor="accent2"/>
        <w:left w:val="single" w:sz="8" w:space="0" w:color="B2B2B2" w:themeColor="accent2"/>
        <w:bottom w:val="single" w:sz="8" w:space="0" w:color="B2B2B2" w:themeColor="accent2"/>
        <w:right w:val="single" w:sz="8" w:space="0" w:color="B2B2B2" w:themeColor="accent2"/>
      </w:tblBorders>
    </w:tblPr>
    <w:tblStylePr w:type="firstRow">
      <w:rPr>
        <w:sz w:val="24"/>
        <w:szCs w:val="24"/>
      </w:rPr>
      <w:tblPr/>
      <w:tcPr>
        <w:tcBorders>
          <w:top w:val="nil"/>
          <w:left w:val="nil"/>
          <w:bottom w:val="single" w:sz="24" w:space="0" w:color="B2B2B2" w:themeColor="accent2"/>
          <w:right w:val="nil"/>
          <w:insideH w:val="nil"/>
          <w:insideV w:val="nil"/>
        </w:tcBorders>
        <w:shd w:val="clear" w:color="auto" w:fill="FFFFFF" w:themeFill="background1"/>
      </w:tcPr>
    </w:tblStylePr>
    <w:tblStylePr w:type="lastRow">
      <w:tblPr/>
      <w:tcPr>
        <w:tcBorders>
          <w:top w:val="single" w:sz="8" w:space="0" w:color="B2B2B2"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B2B2B2" w:themeColor="accent2"/>
          <w:insideH w:val="nil"/>
          <w:insideV w:val="nil"/>
        </w:tcBorders>
        <w:shd w:val="clear" w:color="auto" w:fill="FFFFFF" w:themeFill="background1"/>
      </w:tcPr>
    </w:tblStylePr>
    <w:tblStylePr w:type="lastCol">
      <w:tblPr/>
      <w:tcPr>
        <w:tcBorders>
          <w:top w:val="nil"/>
          <w:left w:val="single" w:sz="8" w:space="0" w:color="B2B2B2"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BEBEB" w:themeFill="accent2" w:themeFillTint="3F"/>
      </w:tcPr>
    </w:tblStylePr>
    <w:tblStylePr w:type="band1Horz">
      <w:tblPr/>
      <w:tcPr>
        <w:tcBorders>
          <w:top w:val="nil"/>
          <w:bottom w:val="nil"/>
          <w:insideH w:val="nil"/>
          <w:insideV w:val="nil"/>
        </w:tcBorders>
        <w:shd w:val="clear" w:color="auto" w:fill="EBEBE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98"/>
    <w:semiHidden/>
    <w:rsid w:val="00B12EF5"/>
    <w:rPr>
      <w:color w:val="000000" w:themeColor="text1"/>
    </w:rPr>
    <w:tblPr>
      <w:tblStyleRowBandSize w:val="1"/>
      <w:tblStyleColBandSize w:val="1"/>
      <w:tblBorders>
        <w:top w:val="single" w:sz="8" w:space="0" w:color="969696" w:themeColor="accent3"/>
        <w:left w:val="single" w:sz="8" w:space="0" w:color="969696" w:themeColor="accent3"/>
        <w:bottom w:val="single" w:sz="8" w:space="0" w:color="969696" w:themeColor="accent3"/>
        <w:right w:val="single" w:sz="8" w:space="0" w:color="969696" w:themeColor="accent3"/>
      </w:tblBorders>
    </w:tblPr>
    <w:tblStylePr w:type="firstRow">
      <w:rPr>
        <w:sz w:val="24"/>
        <w:szCs w:val="24"/>
      </w:rPr>
      <w:tblPr/>
      <w:tcPr>
        <w:tcBorders>
          <w:top w:val="nil"/>
          <w:left w:val="nil"/>
          <w:bottom w:val="single" w:sz="24" w:space="0" w:color="969696" w:themeColor="accent3"/>
          <w:right w:val="nil"/>
          <w:insideH w:val="nil"/>
          <w:insideV w:val="nil"/>
        </w:tcBorders>
        <w:shd w:val="clear" w:color="auto" w:fill="FFFFFF" w:themeFill="background1"/>
      </w:tcPr>
    </w:tblStylePr>
    <w:tblStylePr w:type="lastRow">
      <w:tblPr/>
      <w:tcPr>
        <w:tcBorders>
          <w:top w:val="single" w:sz="8" w:space="0" w:color="969696"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69696" w:themeColor="accent3"/>
          <w:insideH w:val="nil"/>
          <w:insideV w:val="nil"/>
        </w:tcBorders>
        <w:shd w:val="clear" w:color="auto" w:fill="FFFFFF" w:themeFill="background1"/>
      </w:tcPr>
    </w:tblStylePr>
    <w:tblStylePr w:type="lastCol">
      <w:tblPr/>
      <w:tcPr>
        <w:tcBorders>
          <w:top w:val="nil"/>
          <w:left w:val="single" w:sz="8" w:space="0" w:color="969696"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5E5E5" w:themeFill="accent3" w:themeFillTint="3F"/>
      </w:tcPr>
    </w:tblStylePr>
    <w:tblStylePr w:type="band1Horz">
      <w:tblPr/>
      <w:tcPr>
        <w:tcBorders>
          <w:top w:val="nil"/>
          <w:bottom w:val="nil"/>
          <w:insideH w:val="nil"/>
          <w:insideV w:val="nil"/>
        </w:tcBorders>
        <w:shd w:val="clear" w:color="auto" w:fill="E5E5E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98"/>
    <w:semiHidden/>
    <w:rsid w:val="00B12EF5"/>
    <w:rPr>
      <w:color w:val="000000" w:themeColor="text1"/>
    </w:rPr>
    <w:tblPr>
      <w:tblStyleRowBandSize w:val="1"/>
      <w:tblStyleColBandSize w:val="1"/>
      <w:tblBorders>
        <w:top w:val="single" w:sz="8" w:space="0" w:color="808080" w:themeColor="accent4"/>
        <w:left w:val="single" w:sz="8" w:space="0" w:color="808080" w:themeColor="accent4"/>
        <w:bottom w:val="single" w:sz="8" w:space="0" w:color="808080" w:themeColor="accent4"/>
        <w:right w:val="single" w:sz="8" w:space="0" w:color="808080" w:themeColor="accent4"/>
      </w:tblBorders>
    </w:tblPr>
    <w:tblStylePr w:type="firstRow">
      <w:rPr>
        <w:sz w:val="24"/>
        <w:szCs w:val="24"/>
      </w:rPr>
      <w:tblPr/>
      <w:tcPr>
        <w:tcBorders>
          <w:top w:val="nil"/>
          <w:left w:val="nil"/>
          <w:bottom w:val="single" w:sz="24" w:space="0" w:color="808080" w:themeColor="accent4"/>
          <w:right w:val="nil"/>
          <w:insideH w:val="nil"/>
          <w:insideV w:val="nil"/>
        </w:tcBorders>
        <w:shd w:val="clear" w:color="auto" w:fill="FFFFFF" w:themeFill="background1"/>
      </w:tcPr>
    </w:tblStylePr>
    <w:tblStylePr w:type="lastRow">
      <w:tblPr/>
      <w:tcPr>
        <w:tcBorders>
          <w:top w:val="single" w:sz="8" w:space="0" w:color="80808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8080" w:themeColor="accent4"/>
          <w:insideH w:val="nil"/>
          <w:insideV w:val="nil"/>
        </w:tcBorders>
        <w:shd w:val="clear" w:color="auto" w:fill="FFFFFF" w:themeFill="background1"/>
      </w:tcPr>
    </w:tblStylePr>
    <w:tblStylePr w:type="lastCol">
      <w:tblPr/>
      <w:tcPr>
        <w:tcBorders>
          <w:top w:val="nil"/>
          <w:left w:val="single" w:sz="8" w:space="0" w:color="80808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FDF" w:themeFill="accent4" w:themeFillTint="3F"/>
      </w:tcPr>
    </w:tblStylePr>
    <w:tblStylePr w:type="band1Horz">
      <w:tblPr/>
      <w:tcPr>
        <w:tcBorders>
          <w:top w:val="nil"/>
          <w:bottom w:val="nil"/>
          <w:insideH w:val="nil"/>
          <w:insideV w:val="nil"/>
        </w:tcBorders>
        <w:shd w:val="clear" w:color="auto" w:fill="DFDFDF"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98"/>
    <w:semiHidden/>
    <w:rsid w:val="00B12EF5"/>
    <w:rPr>
      <w:color w:val="000000" w:themeColor="text1"/>
    </w:rPr>
    <w:tblPr>
      <w:tblStyleRowBandSize w:val="1"/>
      <w:tblStyleColBandSize w:val="1"/>
      <w:tblBorders>
        <w:top w:val="single" w:sz="8" w:space="0" w:color="5F5F5F" w:themeColor="accent5"/>
        <w:left w:val="single" w:sz="8" w:space="0" w:color="5F5F5F" w:themeColor="accent5"/>
        <w:bottom w:val="single" w:sz="8" w:space="0" w:color="5F5F5F" w:themeColor="accent5"/>
        <w:right w:val="single" w:sz="8" w:space="0" w:color="5F5F5F" w:themeColor="accent5"/>
      </w:tblBorders>
    </w:tblPr>
    <w:tblStylePr w:type="firstRow">
      <w:rPr>
        <w:sz w:val="24"/>
        <w:szCs w:val="24"/>
      </w:rPr>
      <w:tblPr/>
      <w:tcPr>
        <w:tcBorders>
          <w:top w:val="nil"/>
          <w:left w:val="nil"/>
          <w:bottom w:val="single" w:sz="24" w:space="0" w:color="5F5F5F" w:themeColor="accent5"/>
          <w:right w:val="nil"/>
          <w:insideH w:val="nil"/>
          <w:insideV w:val="nil"/>
        </w:tcBorders>
        <w:shd w:val="clear" w:color="auto" w:fill="FFFFFF" w:themeFill="background1"/>
      </w:tcPr>
    </w:tblStylePr>
    <w:tblStylePr w:type="lastRow">
      <w:tblPr/>
      <w:tcPr>
        <w:tcBorders>
          <w:top w:val="single" w:sz="8" w:space="0" w:color="5F5F5F"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F5F5F" w:themeColor="accent5"/>
          <w:insideH w:val="nil"/>
          <w:insideV w:val="nil"/>
        </w:tcBorders>
        <w:shd w:val="clear" w:color="auto" w:fill="FFFFFF" w:themeFill="background1"/>
      </w:tcPr>
    </w:tblStylePr>
    <w:tblStylePr w:type="lastCol">
      <w:tblPr/>
      <w:tcPr>
        <w:tcBorders>
          <w:top w:val="nil"/>
          <w:left w:val="single" w:sz="8" w:space="0" w:color="5F5F5F"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7D7D7" w:themeFill="accent5" w:themeFillTint="3F"/>
      </w:tcPr>
    </w:tblStylePr>
    <w:tblStylePr w:type="band1Horz">
      <w:tblPr/>
      <w:tcPr>
        <w:tcBorders>
          <w:top w:val="nil"/>
          <w:bottom w:val="nil"/>
          <w:insideH w:val="nil"/>
          <w:insideV w:val="nil"/>
        </w:tcBorders>
        <w:shd w:val="clear" w:color="auto" w:fill="D7D7D7"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98"/>
    <w:semiHidden/>
    <w:rsid w:val="00B12EF5"/>
    <w:rPr>
      <w:color w:val="000000" w:themeColor="text1"/>
    </w:rPr>
    <w:tblPr>
      <w:tblStyleRowBandSize w:val="1"/>
      <w:tblStyleColBandSize w:val="1"/>
      <w:tblBorders>
        <w:top w:val="single" w:sz="8" w:space="0" w:color="4D4D4D" w:themeColor="accent6"/>
        <w:left w:val="single" w:sz="8" w:space="0" w:color="4D4D4D" w:themeColor="accent6"/>
        <w:bottom w:val="single" w:sz="8" w:space="0" w:color="4D4D4D" w:themeColor="accent6"/>
        <w:right w:val="single" w:sz="8" w:space="0" w:color="4D4D4D" w:themeColor="accent6"/>
      </w:tblBorders>
    </w:tblPr>
    <w:tblStylePr w:type="firstRow">
      <w:rPr>
        <w:sz w:val="24"/>
        <w:szCs w:val="24"/>
      </w:rPr>
      <w:tblPr/>
      <w:tcPr>
        <w:tcBorders>
          <w:top w:val="nil"/>
          <w:left w:val="nil"/>
          <w:bottom w:val="single" w:sz="24" w:space="0" w:color="4D4D4D" w:themeColor="accent6"/>
          <w:right w:val="nil"/>
          <w:insideH w:val="nil"/>
          <w:insideV w:val="nil"/>
        </w:tcBorders>
        <w:shd w:val="clear" w:color="auto" w:fill="FFFFFF" w:themeFill="background1"/>
      </w:tcPr>
    </w:tblStylePr>
    <w:tblStylePr w:type="lastRow">
      <w:tblPr/>
      <w:tcPr>
        <w:tcBorders>
          <w:top w:val="single" w:sz="8" w:space="0" w:color="4D4D4D"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D4D4D" w:themeColor="accent6"/>
          <w:insideH w:val="nil"/>
          <w:insideV w:val="nil"/>
        </w:tcBorders>
        <w:shd w:val="clear" w:color="auto" w:fill="FFFFFF" w:themeFill="background1"/>
      </w:tcPr>
    </w:tblStylePr>
    <w:tblStylePr w:type="lastCol">
      <w:tblPr/>
      <w:tcPr>
        <w:tcBorders>
          <w:top w:val="nil"/>
          <w:left w:val="single" w:sz="8" w:space="0" w:color="4D4D4D"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3D3" w:themeFill="accent6" w:themeFillTint="3F"/>
      </w:tcPr>
    </w:tblStylePr>
    <w:tblStylePr w:type="band1Horz">
      <w:tblPr/>
      <w:tcPr>
        <w:tcBorders>
          <w:top w:val="nil"/>
          <w:bottom w:val="nil"/>
          <w:insideH w:val="nil"/>
          <w:insideV w:val="nil"/>
        </w:tcBorders>
        <w:shd w:val="clear" w:color="auto" w:fill="D3D3D3"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98"/>
    <w:semiHidden/>
    <w:rsid w:val="00B12EF5"/>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98"/>
    <w:semiHidden/>
    <w:rsid w:val="00B12EF5"/>
    <w:tblPr>
      <w:tblStyleRowBandSize w:val="1"/>
      <w:tblStyleColBandSize w:val="1"/>
      <w:tblBorders>
        <w:top w:val="single" w:sz="8" w:space="0" w:color="E5E5E5" w:themeColor="accent1" w:themeTint="BF"/>
        <w:left w:val="single" w:sz="8" w:space="0" w:color="E5E5E5" w:themeColor="accent1" w:themeTint="BF"/>
        <w:bottom w:val="single" w:sz="8" w:space="0" w:color="E5E5E5" w:themeColor="accent1" w:themeTint="BF"/>
        <w:right w:val="single" w:sz="8" w:space="0" w:color="E5E5E5" w:themeColor="accent1" w:themeTint="BF"/>
        <w:insideH w:val="single" w:sz="8" w:space="0" w:color="E5E5E5" w:themeColor="accent1" w:themeTint="BF"/>
      </w:tblBorders>
    </w:tblPr>
    <w:tblStylePr w:type="firstRow">
      <w:pPr>
        <w:spacing w:before="0" w:after="0" w:line="240" w:lineRule="auto"/>
      </w:pPr>
      <w:rPr>
        <w:b/>
        <w:bCs/>
        <w:color w:val="FFFFFF" w:themeColor="background1"/>
      </w:rPr>
      <w:tblPr/>
      <w:tcPr>
        <w:tcBorders>
          <w:top w:val="single" w:sz="8" w:space="0" w:color="E5E5E5" w:themeColor="accent1" w:themeTint="BF"/>
          <w:left w:val="single" w:sz="8" w:space="0" w:color="E5E5E5" w:themeColor="accent1" w:themeTint="BF"/>
          <w:bottom w:val="single" w:sz="8" w:space="0" w:color="E5E5E5" w:themeColor="accent1" w:themeTint="BF"/>
          <w:right w:val="single" w:sz="8" w:space="0" w:color="E5E5E5" w:themeColor="accent1" w:themeTint="BF"/>
          <w:insideH w:val="nil"/>
          <w:insideV w:val="nil"/>
        </w:tcBorders>
        <w:shd w:val="clear" w:color="auto" w:fill="DDDDDD" w:themeFill="accent1"/>
      </w:tcPr>
    </w:tblStylePr>
    <w:tblStylePr w:type="lastRow">
      <w:pPr>
        <w:spacing w:before="0" w:after="0" w:line="240" w:lineRule="auto"/>
      </w:pPr>
      <w:rPr>
        <w:b/>
        <w:bCs/>
      </w:rPr>
      <w:tblPr/>
      <w:tcPr>
        <w:tcBorders>
          <w:top w:val="double" w:sz="6" w:space="0" w:color="E5E5E5" w:themeColor="accent1" w:themeTint="BF"/>
          <w:left w:val="single" w:sz="8" w:space="0" w:color="E5E5E5" w:themeColor="accent1" w:themeTint="BF"/>
          <w:bottom w:val="single" w:sz="8" w:space="0" w:color="E5E5E5" w:themeColor="accent1" w:themeTint="BF"/>
          <w:right w:val="single" w:sz="8" w:space="0" w:color="E5E5E5" w:themeColor="accent1" w:themeTint="BF"/>
          <w:insideH w:val="nil"/>
          <w:insideV w:val="nil"/>
        </w:tcBorders>
      </w:tcPr>
    </w:tblStylePr>
    <w:tblStylePr w:type="firstCol">
      <w:rPr>
        <w:b/>
        <w:bCs/>
      </w:rPr>
    </w:tblStylePr>
    <w:tblStylePr w:type="lastCol">
      <w:rPr>
        <w:b/>
        <w:bCs/>
      </w:rPr>
    </w:tblStylePr>
    <w:tblStylePr w:type="band1Vert">
      <w:tblPr/>
      <w:tcPr>
        <w:shd w:val="clear" w:color="auto" w:fill="F6F6F6" w:themeFill="accent1" w:themeFillTint="3F"/>
      </w:tcPr>
    </w:tblStylePr>
    <w:tblStylePr w:type="band1Horz">
      <w:tblPr/>
      <w:tcPr>
        <w:tcBorders>
          <w:insideH w:val="nil"/>
          <w:insideV w:val="nil"/>
        </w:tcBorders>
        <w:shd w:val="clear" w:color="auto" w:fill="F6F6F6"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98"/>
    <w:semiHidden/>
    <w:rsid w:val="00B12EF5"/>
    <w:tblPr>
      <w:tblStyleRowBandSize w:val="1"/>
      <w:tblStyleColBandSize w:val="1"/>
      <w:tblBorders>
        <w:top w:val="single" w:sz="8" w:space="0" w:color="C5C5C5" w:themeColor="accent2" w:themeTint="BF"/>
        <w:left w:val="single" w:sz="8" w:space="0" w:color="C5C5C5" w:themeColor="accent2" w:themeTint="BF"/>
        <w:bottom w:val="single" w:sz="8" w:space="0" w:color="C5C5C5" w:themeColor="accent2" w:themeTint="BF"/>
        <w:right w:val="single" w:sz="8" w:space="0" w:color="C5C5C5" w:themeColor="accent2" w:themeTint="BF"/>
        <w:insideH w:val="single" w:sz="8" w:space="0" w:color="C5C5C5" w:themeColor="accent2" w:themeTint="BF"/>
      </w:tblBorders>
    </w:tblPr>
    <w:tblStylePr w:type="firstRow">
      <w:pPr>
        <w:spacing w:before="0" w:after="0" w:line="240" w:lineRule="auto"/>
      </w:pPr>
      <w:rPr>
        <w:b/>
        <w:bCs/>
        <w:color w:val="FFFFFF" w:themeColor="background1"/>
      </w:rPr>
      <w:tblPr/>
      <w:tcPr>
        <w:tcBorders>
          <w:top w:val="single" w:sz="8" w:space="0" w:color="C5C5C5" w:themeColor="accent2" w:themeTint="BF"/>
          <w:left w:val="single" w:sz="8" w:space="0" w:color="C5C5C5" w:themeColor="accent2" w:themeTint="BF"/>
          <w:bottom w:val="single" w:sz="8" w:space="0" w:color="C5C5C5" w:themeColor="accent2" w:themeTint="BF"/>
          <w:right w:val="single" w:sz="8" w:space="0" w:color="C5C5C5" w:themeColor="accent2" w:themeTint="BF"/>
          <w:insideH w:val="nil"/>
          <w:insideV w:val="nil"/>
        </w:tcBorders>
        <w:shd w:val="clear" w:color="auto" w:fill="B2B2B2" w:themeFill="accent2"/>
      </w:tcPr>
    </w:tblStylePr>
    <w:tblStylePr w:type="lastRow">
      <w:pPr>
        <w:spacing w:before="0" w:after="0" w:line="240" w:lineRule="auto"/>
      </w:pPr>
      <w:rPr>
        <w:b/>
        <w:bCs/>
      </w:rPr>
      <w:tblPr/>
      <w:tcPr>
        <w:tcBorders>
          <w:top w:val="double" w:sz="6" w:space="0" w:color="C5C5C5" w:themeColor="accent2" w:themeTint="BF"/>
          <w:left w:val="single" w:sz="8" w:space="0" w:color="C5C5C5" w:themeColor="accent2" w:themeTint="BF"/>
          <w:bottom w:val="single" w:sz="8" w:space="0" w:color="C5C5C5" w:themeColor="accent2" w:themeTint="BF"/>
          <w:right w:val="single" w:sz="8" w:space="0" w:color="C5C5C5" w:themeColor="accent2" w:themeTint="BF"/>
          <w:insideH w:val="nil"/>
          <w:insideV w:val="nil"/>
        </w:tcBorders>
      </w:tcPr>
    </w:tblStylePr>
    <w:tblStylePr w:type="firstCol">
      <w:rPr>
        <w:b/>
        <w:bCs/>
      </w:rPr>
    </w:tblStylePr>
    <w:tblStylePr w:type="lastCol">
      <w:rPr>
        <w:b/>
        <w:bCs/>
      </w:rPr>
    </w:tblStylePr>
    <w:tblStylePr w:type="band1Vert">
      <w:tblPr/>
      <w:tcPr>
        <w:shd w:val="clear" w:color="auto" w:fill="EBEBEB" w:themeFill="accent2" w:themeFillTint="3F"/>
      </w:tcPr>
    </w:tblStylePr>
    <w:tblStylePr w:type="band1Horz">
      <w:tblPr/>
      <w:tcPr>
        <w:tcBorders>
          <w:insideH w:val="nil"/>
          <w:insideV w:val="nil"/>
        </w:tcBorders>
        <w:shd w:val="clear" w:color="auto" w:fill="EBEBE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98"/>
    <w:semiHidden/>
    <w:rsid w:val="00B12EF5"/>
    <w:tblPr>
      <w:tblStyleRowBandSize w:val="1"/>
      <w:tblStyleColBandSize w:val="1"/>
      <w:tblBorders>
        <w:top w:val="single" w:sz="8" w:space="0" w:color="B0B0B0" w:themeColor="accent3" w:themeTint="BF"/>
        <w:left w:val="single" w:sz="8" w:space="0" w:color="B0B0B0" w:themeColor="accent3" w:themeTint="BF"/>
        <w:bottom w:val="single" w:sz="8" w:space="0" w:color="B0B0B0" w:themeColor="accent3" w:themeTint="BF"/>
        <w:right w:val="single" w:sz="8" w:space="0" w:color="B0B0B0" w:themeColor="accent3" w:themeTint="BF"/>
        <w:insideH w:val="single" w:sz="8" w:space="0" w:color="B0B0B0" w:themeColor="accent3" w:themeTint="BF"/>
      </w:tblBorders>
    </w:tblPr>
    <w:tblStylePr w:type="firstRow">
      <w:pPr>
        <w:spacing w:before="0" w:after="0" w:line="240" w:lineRule="auto"/>
      </w:pPr>
      <w:rPr>
        <w:b/>
        <w:bCs/>
        <w:color w:val="FFFFFF" w:themeColor="background1"/>
      </w:rPr>
      <w:tblPr/>
      <w:tcPr>
        <w:tcBorders>
          <w:top w:val="single" w:sz="8" w:space="0" w:color="B0B0B0" w:themeColor="accent3" w:themeTint="BF"/>
          <w:left w:val="single" w:sz="8" w:space="0" w:color="B0B0B0" w:themeColor="accent3" w:themeTint="BF"/>
          <w:bottom w:val="single" w:sz="8" w:space="0" w:color="B0B0B0" w:themeColor="accent3" w:themeTint="BF"/>
          <w:right w:val="single" w:sz="8" w:space="0" w:color="B0B0B0" w:themeColor="accent3" w:themeTint="BF"/>
          <w:insideH w:val="nil"/>
          <w:insideV w:val="nil"/>
        </w:tcBorders>
        <w:shd w:val="clear" w:color="auto" w:fill="969696" w:themeFill="accent3"/>
      </w:tcPr>
    </w:tblStylePr>
    <w:tblStylePr w:type="lastRow">
      <w:pPr>
        <w:spacing w:before="0" w:after="0" w:line="240" w:lineRule="auto"/>
      </w:pPr>
      <w:rPr>
        <w:b/>
        <w:bCs/>
      </w:rPr>
      <w:tblPr/>
      <w:tcPr>
        <w:tcBorders>
          <w:top w:val="double" w:sz="6" w:space="0" w:color="B0B0B0" w:themeColor="accent3" w:themeTint="BF"/>
          <w:left w:val="single" w:sz="8" w:space="0" w:color="B0B0B0" w:themeColor="accent3" w:themeTint="BF"/>
          <w:bottom w:val="single" w:sz="8" w:space="0" w:color="B0B0B0" w:themeColor="accent3" w:themeTint="BF"/>
          <w:right w:val="single" w:sz="8" w:space="0" w:color="B0B0B0" w:themeColor="accent3" w:themeTint="BF"/>
          <w:insideH w:val="nil"/>
          <w:insideV w:val="nil"/>
        </w:tcBorders>
      </w:tcPr>
    </w:tblStylePr>
    <w:tblStylePr w:type="firstCol">
      <w:rPr>
        <w:b/>
        <w:bCs/>
      </w:rPr>
    </w:tblStylePr>
    <w:tblStylePr w:type="lastCol">
      <w:rPr>
        <w:b/>
        <w:bCs/>
      </w:rPr>
    </w:tblStylePr>
    <w:tblStylePr w:type="band1Vert">
      <w:tblPr/>
      <w:tcPr>
        <w:shd w:val="clear" w:color="auto" w:fill="E5E5E5" w:themeFill="accent3" w:themeFillTint="3F"/>
      </w:tcPr>
    </w:tblStylePr>
    <w:tblStylePr w:type="band1Horz">
      <w:tblPr/>
      <w:tcPr>
        <w:tcBorders>
          <w:insideH w:val="nil"/>
          <w:insideV w:val="nil"/>
        </w:tcBorders>
        <w:shd w:val="clear" w:color="auto" w:fill="E5E5E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98"/>
    <w:semiHidden/>
    <w:rsid w:val="00B12EF5"/>
    <w:tblPr>
      <w:tblStyleRowBandSize w:val="1"/>
      <w:tblStyleColBandSize w:val="1"/>
      <w:tblBorders>
        <w:top w:val="single" w:sz="8" w:space="0" w:color="9F9F9F" w:themeColor="accent4" w:themeTint="BF"/>
        <w:left w:val="single" w:sz="8" w:space="0" w:color="9F9F9F" w:themeColor="accent4" w:themeTint="BF"/>
        <w:bottom w:val="single" w:sz="8" w:space="0" w:color="9F9F9F" w:themeColor="accent4" w:themeTint="BF"/>
        <w:right w:val="single" w:sz="8" w:space="0" w:color="9F9F9F" w:themeColor="accent4" w:themeTint="BF"/>
        <w:insideH w:val="single" w:sz="8" w:space="0" w:color="9F9F9F" w:themeColor="accent4" w:themeTint="BF"/>
      </w:tblBorders>
    </w:tblPr>
    <w:tblStylePr w:type="firstRow">
      <w:pPr>
        <w:spacing w:before="0" w:after="0" w:line="240" w:lineRule="auto"/>
      </w:pPr>
      <w:rPr>
        <w:b/>
        <w:bCs/>
        <w:color w:val="FFFFFF" w:themeColor="background1"/>
      </w:rPr>
      <w:tblPr/>
      <w:tcPr>
        <w:tcBorders>
          <w:top w:val="single" w:sz="8" w:space="0" w:color="9F9F9F" w:themeColor="accent4" w:themeTint="BF"/>
          <w:left w:val="single" w:sz="8" w:space="0" w:color="9F9F9F" w:themeColor="accent4" w:themeTint="BF"/>
          <w:bottom w:val="single" w:sz="8" w:space="0" w:color="9F9F9F" w:themeColor="accent4" w:themeTint="BF"/>
          <w:right w:val="single" w:sz="8" w:space="0" w:color="9F9F9F" w:themeColor="accent4" w:themeTint="BF"/>
          <w:insideH w:val="nil"/>
          <w:insideV w:val="nil"/>
        </w:tcBorders>
        <w:shd w:val="clear" w:color="auto" w:fill="808080" w:themeFill="accent4"/>
      </w:tcPr>
    </w:tblStylePr>
    <w:tblStylePr w:type="lastRow">
      <w:pPr>
        <w:spacing w:before="0" w:after="0" w:line="240" w:lineRule="auto"/>
      </w:pPr>
      <w:rPr>
        <w:b/>
        <w:bCs/>
      </w:rPr>
      <w:tblPr/>
      <w:tcPr>
        <w:tcBorders>
          <w:top w:val="double" w:sz="6" w:space="0" w:color="9F9F9F" w:themeColor="accent4" w:themeTint="BF"/>
          <w:left w:val="single" w:sz="8" w:space="0" w:color="9F9F9F" w:themeColor="accent4" w:themeTint="BF"/>
          <w:bottom w:val="single" w:sz="8" w:space="0" w:color="9F9F9F" w:themeColor="accent4" w:themeTint="BF"/>
          <w:right w:val="single" w:sz="8" w:space="0" w:color="9F9F9F"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FDF" w:themeFill="accent4" w:themeFillTint="3F"/>
      </w:tcPr>
    </w:tblStylePr>
    <w:tblStylePr w:type="band1Horz">
      <w:tblPr/>
      <w:tcPr>
        <w:tcBorders>
          <w:insideH w:val="nil"/>
          <w:insideV w:val="nil"/>
        </w:tcBorders>
        <w:shd w:val="clear" w:color="auto" w:fill="DFDFDF"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98"/>
    <w:semiHidden/>
    <w:rsid w:val="00B12EF5"/>
    <w:tblPr>
      <w:tblStyleRowBandSize w:val="1"/>
      <w:tblStyleColBandSize w:val="1"/>
      <w:tblBorders>
        <w:top w:val="single" w:sz="8" w:space="0" w:color="878787" w:themeColor="accent5" w:themeTint="BF"/>
        <w:left w:val="single" w:sz="8" w:space="0" w:color="878787" w:themeColor="accent5" w:themeTint="BF"/>
        <w:bottom w:val="single" w:sz="8" w:space="0" w:color="878787" w:themeColor="accent5" w:themeTint="BF"/>
        <w:right w:val="single" w:sz="8" w:space="0" w:color="878787" w:themeColor="accent5" w:themeTint="BF"/>
        <w:insideH w:val="single" w:sz="8" w:space="0" w:color="878787" w:themeColor="accent5" w:themeTint="BF"/>
      </w:tblBorders>
    </w:tblPr>
    <w:tblStylePr w:type="firstRow">
      <w:pPr>
        <w:spacing w:before="0" w:after="0" w:line="240" w:lineRule="auto"/>
      </w:pPr>
      <w:rPr>
        <w:b/>
        <w:bCs/>
        <w:color w:val="FFFFFF" w:themeColor="background1"/>
      </w:rPr>
      <w:tblPr/>
      <w:tcPr>
        <w:tcBorders>
          <w:top w:val="single" w:sz="8" w:space="0" w:color="878787" w:themeColor="accent5" w:themeTint="BF"/>
          <w:left w:val="single" w:sz="8" w:space="0" w:color="878787" w:themeColor="accent5" w:themeTint="BF"/>
          <w:bottom w:val="single" w:sz="8" w:space="0" w:color="878787" w:themeColor="accent5" w:themeTint="BF"/>
          <w:right w:val="single" w:sz="8" w:space="0" w:color="878787" w:themeColor="accent5" w:themeTint="BF"/>
          <w:insideH w:val="nil"/>
          <w:insideV w:val="nil"/>
        </w:tcBorders>
        <w:shd w:val="clear" w:color="auto" w:fill="5F5F5F" w:themeFill="accent5"/>
      </w:tcPr>
    </w:tblStylePr>
    <w:tblStylePr w:type="lastRow">
      <w:pPr>
        <w:spacing w:before="0" w:after="0" w:line="240" w:lineRule="auto"/>
      </w:pPr>
      <w:rPr>
        <w:b/>
        <w:bCs/>
      </w:rPr>
      <w:tblPr/>
      <w:tcPr>
        <w:tcBorders>
          <w:top w:val="double" w:sz="6" w:space="0" w:color="878787" w:themeColor="accent5" w:themeTint="BF"/>
          <w:left w:val="single" w:sz="8" w:space="0" w:color="878787" w:themeColor="accent5" w:themeTint="BF"/>
          <w:bottom w:val="single" w:sz="8" w:space="0" w:color="878787" w:themeColor="accent5" w:themeTint="BF"/>
          <w:right w:val="single" w:sz="8" w:space="0" w:color="878787" w:themeColor="accent5" w:themeTint="BF"/>
          <w:insideH w:val="nil"/>
          <w:insideV w:val="nil"/>
        </w:tcBorders>
      </w:tcPr>
    </w:tblStylePr>
    <w:tblStylePr w:type="firstCol">
      <w:rPr>
        <w:b/>
        <w:bCs/>
      </w:rPr>
    </w:tblStylePr>
    <w:tblStylePr w:type="lastCol">
      <w:rPr>
        <w:b/>
        <w:bCs/>
      </w:rPr>
    </w:tblStylePr>
    <w:tblStylePr w:type="band1Vert">
      <w:tblPr/>
      <w:tcPr>
        <w:shd w:val="clear" w:color="auto" w:fill="D7D7D7" w:themeFill="accent5" w:themeFillTint="3F"/>
      </w:tcPr>
    </w:tblStylePr>
    <w:tblStylePr w:type="band1Horz">
      <w:tblPr/>
      <w:tcPr>
        <w:tcBorders>
          <w:insideH w:val="nil"/>
          <w:insideV w:val="nil"/>
        </w:tcBorders>
        <w:shd w:val="clear" w:color="auto" w:fill="D7D7D7"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98"/>
    <w:semiHidden/>
    <w:rsid w:val="00B12EF5"/>
    <w:tblPr>
      <w:tblStyleRowBandSize w:val="1"/>
      <w:tblStyleColBandSize w:val="1"/>
      <w:tblBorders>
        <w:top w:val="single" w:sz="8" w:space="0" w:color="797979" w:themeColor="accent6" w:themeTint="BF"/>
        <w:left w:val="single" w:sz="8" w:space="0" w:color="797979" w:themeColor="accent6" w:themeTint="BF"/>
        <w:bottom w:val="single" w:sz="8" w:space="0" w:color="797979" w:themeColor="accent6" w:themeTint="BF"/>
        <w:right w:val="single" w:sz="8" w:space="0" w:color="797979" w:themeColor="accent6" w:themeTint="BF"/>
        <w:insideH w:val="single" w:sz="8" w:space="0" w:color="797979" w:themeColor="accent6" w:themeTint="BF"/>
      </w:tblBorders>
    </w:tblPr>
    <w:tblStylePr w:type="firstRow">
      <w:pPr>
        <w:spacing w:before="0" w:after="0" w:line="240" w:lineRule="auto"/>
      </w:pPr>
      <w:rPr>
        <w:b/>
        <w:bCs/>
        <w:color w:val="FFFFFF" w:themeColor="background1"/>
      </w:rPr>
      <w:tblPr/>
      <w:tcPr>
        <w:tcBorders>
          <w:top w:val="single" w:sz="8" w:space="0" w:color="797979" w:themeColor="accent6" w:themeTint="BF"/>
          <w:left w:val="single" w:sz="8" w:space="0" w:color="797979" w:themeColor="accent6" w:themeTint="BF"/>
          <w:bottom w:val="single" w:sz="8" w:space="0" w:color="797979" w:themeColor="accent6" w:themeTint="BF"/>
          <w:right w:val="single" w:sz="8" w:space="0" w:color="797979" w:themeColor="accent6" w:themeTint="BF"/>
          <w:insideH w:val="nil"/>
          <w:insideV w:val="nil"/>
        </w:tcBorders>
        <w:shd w:val="clear" w:color="auto" w:fill="4D4D4D" w:themeFill="accent6"/>
      </w:tcPr>
    </w:tblStylePr>
    <w:tblStylePr w:type="lastRow">
      <w:pPr>
        <w:spacing w:before="0" w:after="0" w:line="240" w:lineRule="auto"/>
      </w:pPr>
      <w:rPr>
        <w:b/>
        <w:bCs/>
      </w:rPr>
      <w:tblPr/>
      <w:tcPr>
        <w:tcBorders>
          <w:top w:val="double" w:sz="6" w:space="0" w:color="797979" w:themeColor="accent6" w:themeTint="BF"/>
          <w:left w:val="single" w:sz="8" w:space="0" w:color="797979" w:themeColor="accent6" w:themeTint="BF"/>
          <w:bottom w:val="single" w:sz="8" w:space="0" w:color="797979" w:themeColor="accent6" w:themeTint="BF"/>
          <w:right w:val="single" w:sz="8" w:space="0" w:color="797979" w:themeColor="accent6" w:themeTint="BF"/>
          <w:insideH w:val="nil"/>
          <w:insideV w:val="nil"/>
        </w:tcBorders>
      </w:tcPr>
    </w:tblStylePr>
    <w:tblStylePr w:type="firstCol">
      <w:rPr>
        <w:b/>
        <w:bCs/>
      </w:rPr>
    </w:tblStylePr>
    <w:tblStylePr w:type="lastCol">
      <w:rPr>
        <w:b/>
        <w:bCs/>
      </w:rPr>
    </w:tblStylePr>
    <w:tblStylePr w:type="band1Vert">
      <w:tblPr/>
      <w:tcPr>
        <w:shd w:val="clear" w:color="auto" w:fill="D3D3D3" w:themeFill="accent6" w:themeFillTint="3F"/>
      </w:tcPr>
    </w:tblStylePr>
    <w:tblStylePr w:type="band1Horz">
      <w:tblPr/>
      <w:tcPr>
        <w:tcBorders>
          <w:insideH w:val="nil"/>
          <w:insideV w:val="nil"/>
        </w:tcBorders>
        <w:shd w:val="clear" w:color="auto" w:fill="D3D3D3"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98"/>
    <w:semiHidden/>
    <w:rsid w:val="00B12EF5"/>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98"/>
    <w:semiHidden/>
    <w:rsid w:val="00B12EF5"/>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DDDDD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DDDDDD" w:themeFill="accent1"/>
      </w:tcPr>
    </w:tblStylePr>
    <w:tblStylePr w:type="lastCol">
      <w:rPr>
        <w:b/>
        <w:bCs/>
        <w:color w:val="FFFFFF" w:themeColor="background1"/>
      </w:rPr>
      <w:tblPr/>
      <w:tcPr>
        <w:tcBorders>
          <w:left w:val="nil"/>
          <w:right w:val="nil"/>
          <w:insideH w:val="nil"/>
          <w:insideV w:val="nil"/>
        </w:tcBorders>
        <w:shd w:val="clear" w:color="auto" w:fill="DDDDD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98"/>
    <w:semiHidden/>
    <w:rsid w:val="00B12EF5"/>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B2B2B2"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B2B2B2" w:themeFill="accent2"/>
      </w:tcPr>
    </w:tblStylePr>
    <w:tblStylePr w:type="lastCol">
      <w:rPr>
        <w:b/>
        <w:bCs/>
        <w:color w:val="FFFFFF" w:themeColor="background1"/>
      </w:rPr>
      <w:tblPr/>
      <w:tcPr>
        <w:tcBorders>
          <w:left w:val="nil"/>
          <w:right w:val="nil"/>
          <w:insideH w:val="nil"/>
          <w:insideV w:val="nil"/>
        </w:tcBorders>
        <w:shd w:val="clear" w:color="auto" w:fill="B2B2B2"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98"/>
    <w:semiHidden/>
    <w:rsid w:val="00B12EF5"/>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69696"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69696" w:themeFill="accent3"/>
      </w:tcPr>
    </w:tblStylePr>
    <w:tblStylePr w:type="lastCol">
      <w:rPr>
        <w:b/>
        <w:bCs/>
        <w:color w:val="FFFFFF" w:themeColor="background1"/>
      </w:rPr>
      <w:tblPr/>
      <w:tcPr>
        <w:tcBorders>
          <w:left w:val="nil"/>
          <w:right w:val="nil"/>
          <w:insideH w:val="nil"/>
          <w:insideV w:val="nil"/>
        </w:tcBorders>
        <w:shd w:val="clear" w:color="auto" w:fill="969696"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98"/>
    <w:semiHidden/>
    <w:rsid w:val="00B12EF5"/>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808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8080" w:themeFill="accent4"/>
      </w:tcPr>
    </w:tblStylePr>
    <w:tblStylePr w:type="lastCol">
      <w:rPr>
        <w:b/>
        <w:bCs/>
        <w:color w:val="FFFFFF" w:themeColor="background1"/>
      </w:rPr>
      <w:tblPr/>
      <w:tcPr>
        <w:tcBorders>
          <w:left w:val="nil"/>
          <w:right w:val="nil"/>
          <w:insideH w:val="nil"/>
          <w:insideV w:val="nil"/>
        </w:tcBorders>
        <w:shd w:val="clear" w:color="auto" w:fill="80808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98"/>
    <w:semiHidden/>
    <w:rsid w:val="00B12EF5"/>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F5F5F"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F5F5F" w:themeFill="accent5"/>
      </w:tcPr>
    </w:tblStylePr>
    <w:tblStylePr w:type="lastCol">
      <w:rPr>
        <w:b/>
        <w:bCs/>
        <w:color w:val="FFFFFF" w:themeColor="background1"/>
      </w:rPr>
      <w:tblPr/>
      <w:tcPr>
        <w:tcBorders>
          <w:left w:val="nil"/>
          <w:right w:val="nil"/>
          <w:insideH w:val="nil"/>
          <w:insideV w:val="nil"/>
        </w:tcBorders>
        <w:shd w:val="clear" w:color="auto" w:fill="5F5F5F"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98"/>
    <w:semiHidden/>
    <w:rsid w:val="00B12EF5"/>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D4D4D"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D4D4D" w:themeFill="accent6"/>
      </w:tcPr>
    </w:tblStylePr>
    <w:tblStylePr w:type="lastCol">
      <w:rPr>
        <w:b/>
        <w:bCs/>
        <w:color w:val="FFFFFF" w:themeColor="background1"/>
      </w:rPr>
      <w:tblPr/>
      <w:tcPr>
        <w:tcBorders>
          <w:left w:val="nil"/>
          <w:right w:val="nil"/>
          <w:insideH w:val="nil"/>
          <w:insideV w:val="nil"/>
        </w:tcBorders>
        <w:shd w:val="clear" w:color="auto" w:fill="4D4D4D"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98"/>
    <w:rsid w:val="00B12EF5"/>
    <w:pPr>
      <w:pBdr>
        <w:top w:val="single" w:sz="6" w:space="1" w:color="auto"/>
        <w:left w:val="single" w:sz="6" w:space="1" w:color="auto"/>
        <w:bottom w:val="single" w:sz="6" w:space="1" w:color="auto"/>
        <w:right w:val="single" w:sz="6" w:space="1" w:color="auto"/>
      </w:pBdr>
      <w:shd w:val="pct20" w:color="auto" w:fill="auto"/>
      <w:spacing w:line="240" w:lineRule="auto"/>
      <w:ind w:left="1134" w:hanging="1134"/>
    </w:pPr>
    <w:rPr>
      <w:sz w:val="24"/>
      <w:szCs w:val="30"/>
    </w:rPr>
  </w:style>
  <w:style w:type="character" w:customStyle="1" w:styleId="MessageHeaderChar">
    <w:name w:val="Message Header Char"/>
    <w:basedOn w:val="DefaultParagraphFont"/>
    <w:link w:val="MessageHeader"/>
    <w:uiPriority w:val="98"/>
    <w:rsid w:val="00B12EF5"/>
    <w:rPr>
      <w:rFonts w:asciiTheme="minorHAnsi" w:eastAsiaTheme="minorEastAsia" w:hAnsiTheme="minorHAnsi" w:cstheme="minorBidi"/>
      <w:sz w:val="24"/>
      <w:szCs w:val="30"/>
      <w:shd w:val="pct20" w:color="auto" w:fill="auto"/>
    </w:rPr>
  </w:style>
  <w:style w:type="paragraph" w:styleId="NoSpacing">
    <w:name w:val="No Spacing"/>
    <w:uiPriority w:val="98"/>
    <w:semiHidden/>
    <w:rsid w:val="00B12EF5"/>
    <w:pPr>
      <w:jc w:val="both"/>
    </w:pPr>
    <w:rPr>
      <w:lang w:eastAsia="en-GB"/>
    </w:rPr>
  </w:style>
  <w:style w:type="paragraph" w:styleId="NormalWeb">
    <w:name w:val="Normal (Web)"/>
    <w:basedOn w:val="Normal"/>
    <w:uiPriority w:val="98"/>
    <w:semiHidden/>
    <w:rsid w:val="00B12EF5"/>
    <w:rPr>
      <w:sz w:val="24"/>
      <w:szCs w:val="30"/>
    </w:rPr>
  </w:style>
  <w:style w:type="paragraph" w:styleId="NormalIndent">
    <w:name w:val="Normal Indent"/>
    <w:basedOn w:val="Normal"/>
    <w:uiPriority w:val="98"/>
    <w:semiHidden/>
    <w:rsid w:val="00B12EF5"/>
    <w:pPr>
      <w:ind w:left="720"/>
    </w:pPr>
  </w:style>
  <w:style w:type="paragraph" w:customStyle="1" w:styleId="NoteHeading1">
    <w:name w:val="Note Heading1"/>
    <w:basedOn w:val="Normal"/>
    <w:next w:val="Normal"/>
    <w:link w:val="NoteHeadingChar"/>
    <w:uiPriority w:val="98"/>
    <w:semiHidden/>
    <w:rsid w:val="00B12EF5"/>
    <w:pPr>
      <w:spacing w:line="240" w:lineRule="auto"/>
    </w:pPr>
  </w:style>
  <w:style w:type="character" w:customStyle="1" w:styleId="NoteHeadingChar">
    <w:name w:val="Note Heading Char"/>
    <w:basedOn w:val="DefaultParagraphFont"/>
    <w:link w:val="NoteHeading1"/>
    <w:uiPriority w:val="98"/>
    <w:semiHidden/>
    <w:rsid w:val="00B12EF5"/>
    <w:rPr>
      <w:rFonts w:asciiTheme="minorHAnsi" w:eastAsiaTheme="minorEastAsia" w:hAnsiTheme="minorHAnsi" w:cstheme="minorBidi"/>
      <w:szCs w:val="24"/>
    </w:rPr>
  </w:style>
  <w:style w:type="character" w:styleId="PageNumber">
    <w:name w:val="page number"/>
    <w:basedOn w:val="DefaultParagraphFont"/>
    <w:uiPriority w:val="98"/>
    <w:rsid w:val="00B12EF5"/>
    <w:rPr>
      <w:rFonts w:asciiTheme="minorHAnsi" w:eastAsiaTheme="minorEastAsia" w:hAnsiTheme="minorHAnsi" w:cstheme="minorBidi"/>
      <w:sz w:val="18"/>
      <w:szCs w:val="24"/>
    </w:rPr>
  </w:style>
  <w:style w:type="character" w:styleId="PlaceholderText">
    <w:name w:val="Placeholder Text"/>
    <w:basedOn w:val="DefaultParagraphFont"/>
    <w:uiPriority w:val="98"/>
    <w:semiHidden/>
    <w:rsid w:val="00B12EF5"/>
    <w:rPr>
      <w:rFonts w:asciiTheme="minorHAnsi" w:eastAsiaTheme="minorEastAsia" w:hAnsiTheme="minorHAnsi" w:cstheme="minorBidi"/>
      <w:color w:val="808080"/>
      <w:szCs w:val="24"/>
    </w:rPr>
  </w:style>
  <w:style w:type="paragraph" w:styleId="PlainText">
    <w:name w:val="Plain Text"/>
    <w:basedOn w:val="Normal"/>
    <w:link w:val="PlainTextChar"/>
    <w:uiPriority w:val="98"/>
    <w:semiHidden/>
    <w:rsid w:val="00B12EF5"/>
    <w:pPr>
      <w:spacing w:line="240" w:lineRule="auto"/>
    </w:pPr>
    <w:rPr>
      <w:sz w:val="21"/>
      <w:szCs w:val="26"/>
    </w:rPr>
  </w:style>
  <w:style w:type="character" w:customStyle="1" w:styleId="PlainTextChar">
    <w:name w:val="Plain Text Char"/>
    <w:basedOn w:val="DefaultParagraphFont"/>
    <w:link w:val="PlainText"/>
    <w:uiPriority w:val="98"/>
    <w:semiHidden/>
    <w:rsid w:val="00B12EF5"/>
    <w:rPr>
      <w:rFonts w:asciiTheme="minorHAnsi" w:eastAsiaTheme="minorEastAsia" w:hAnsiTheme="minorHAnsi" w:cstheme="minorBidi"/>
      <w:sz w:val="21"/>
      <w:szCs w:val="26"/>
    </w:rPr>
  </w:style>
  <w:style w:type="paragraph" w:styleId="Quote">
    <w:name w:val="Quote"/>
    <w:basedOn w:val="Normal"/>
    <w:next w:val="Normal"/>
    <w:link w:val="QuoteChar"/>
    <w:uiPriority w:val="98"/>
    <w:semiHidden/>
    <w:rsid w:val="00B12EF5"/>
    <w:rPr>
      <w:i/>
      <w:iCs/>
      <w:color w:val="000000" w:themeColor="text1"/>
    </w:rPr>
  </w:style>
  <w:style w:type="character" w:customStyle="1" w:styleId="QuoteChar">
    <w:name w:val="Quote Char"/>
    <w:basedOn w:val="DefaultParagraphFont"/>
    <w:link w:val="Quote"/>
    <w:uiPriority w:val="98"/>
    <w:semiHidden/>
    <w:rsid w:val="00B12EF5"/>
    <w:rPr>
      <w:rFonts w:asciiTheme="minorHAnsi" w:eastAsiaTheme="minorEastAsia" w:hAnsiTheme="minorHAnsi" w:cstheme="minorBidi"/>
      <w:i/>
      <w:iCs/>
      <w:color w:val="000000" w:themeColor="text1"/>
      <w:szCs w:val="24"/>
    </w:rPr>
  </w:style>
  <w:style w:type="paragraph" w:styleId="Salutation">
    <w:name w:val="Salutation"/>
    <w:basedOn w:val="Normal"/>
    <w:next w:val="Normal"/>
    <w:link w:val="SalutationChar"/>
    <w:uiPriority w:val="98"/>
    <w:semiHidden/>
    <w:rsid w:val="00B12EF5"/>
  </w:style>
  <w:style w:type="character" w:customStyle="1" w:styleId="SalutationChar">
    <w:name w:val="Salutation Char"/>
    <w:basedOn w:val="DefaultParagraphFont"/>
    <w:link w:val="Salutation"/>
    <w:uiPriority w:val="98"/>
    <w:semiHidden/>
    <w:rsid w:val="00B12EF5"/>
    <w:rPr>
      <w:rFonts w:asciiTheme="minorHAnsi" w:eastAsiaTheme="minorEastAsia" w:hAnsiTheme="minorHAnsi" w:cstheme="minorBidi"/>
      <w:szCs w:val="24"/>
    </w:rPr>
  </w:style>
  <w:style w:type="paragraph" w:styleId="Signature">
    <w:name w:val="Signature"/>
    <w:basedOn w:val="Normal"/>
    <w:link w:val="SignatureChar"/>
    <w:uiPriority w:val="98"/>
    <w:semiHidden/>
    <w:rsid w:val="00B12EF5"/>
    <w:pPr>
      <w:spacing w:line="240" w:lineRule="auto"/>
      <w:ind w:left="4252"/>
    </w:pPr>
  </w:style>
  <w:style w:type="character" w:customStyle="1" w:styleId="SignatureChar">
    <w:name w:val="Signature Char"/>
    <w:basedOn w:val="DefaultParagraphFont"/>
    <w:link w:val="Signature"/>
    <w:uiPriority w:val="98"/>
    <w:semiHidden/>
    <w:rsid w:val="00B12EF5"/>
    <w:rPr>
      <w:rFonts w:asciiTheme="minorHAnsi" w:eastAsiaTheme="minorEastAsia" w:hAnsiTheme="minorHAnsi" w:cstheme="minorBidi"/>
      <w:szCs w:val="24"/>
    </w:rPr>
  </w:style>
  <w:style w:type="character" w:styleId="Strong">
    <w:name w:val="Strong"/>
    <w:basedOn w:val="DefaultParagraphFont"/>
    <w:uiPriority w:val="98"/>
    <w:semiHidden/>
    <w:rsid w:val="00B12EF5"/>
    <w:rPr>
      <w:rFonts w:asciiTheme="minorHAnsi" w:eastAsiaTheme="minorEastAsia" w:hAnsiTheme="minorHAnsi" w:cstheme="minorBidi"/>
      <w:b/>
      <w:bCs/>
      <w:szCs w:val="24"/>
    </w:rPr>
  </w:style>
  <w:style w:type="paragraph" w:styleId="Subtitle">
    <w:name w:val="Subtitle"/>
    <w:basedOn w:val="Normal"/>
    <w:next w:val="Normal"/>
    <w:link w:val="SubtitleChar"/>
    <w:uiPriority w:val="98"/>
    <w:semiHidden/>
    <w:rsid w:val="00B12EF5"/>
    <w:pPr>
      <w:numPr>
        <w:ilvl w:val="1"/>
      </w:numPr>
    </w:pPr>
    <w:rPr>
      <w:i/>
      <w:iCs/>
      <w:color w:val="DDDDDD" w:themeColor="accent1"/>
      <w:spacing w:val="15"/>
      <w:sz w:val="24"/>
      <w:szCs w:val="30"/>
    </w:rPr>
  </w:style>
  <w:style w:type="character" w:customStyle="1" w:styleId="SubtitleChar">
    <w:name w:val="Subtitle Char"/>
    <w:basedOn w:val="DefaultParagraphFont"/>
    <w:link w:val="Subtitle"/>
    <w:uiPriority w:val="98"/>
    <w:semiHidden/>
    <w:rsid w:val="00B12EF5"/>
    <w:rPr>
      <w:rFonts w:asciiTheme="minorHAnsi" w:eastAsiaTheme="minorEastAsia" w:hAnsiTheme="minorHAnsi" w:cstheme="minorBidi"/>
      <w:i/>
      <w:iCs/>
      <w:color w:val="DDDDDD" w:themeColor="accent1"/>
      <w:spacing w:val="15"/>
      <w:sz w:val="24"/>
      <w:szCs w:val="30"/>
    </w:rPr>
  </w:style>
  <w:style w:type="character" w:styleId="SubtleEmphasis">
    <w:name w:val="Subtle Emphasis"/>
    <w:basedOn w:val="DefaultParagraphFont"/>
    <w:uiPriority w:val="98"/>
    <w:semiHidden/>
    <w:rsid w:val="00B12EF5"/>
    <w:rPr>
      <w:rFonts w:asciiTheme="minorHAnsi" w:eastAsiaTheme="minorEastAsia" w:hAnsiTheme="minorHAnsi" w:cstheme="minorBidi"/>
      <w:i/>
      <w:iCs/>
      <w:color w:val="808080" w:themeColor="text1" w:themeTint="7F"/>
      <w:szCs w:val="24"/>
    </w:rPr>
  </w:style>
  <w:style w:type="character" w:styleId="SubtleReference">
    <w:name w:val="Subtle Reference"/>
    <w:basedOn w:val="DefaultParagraphFont"/>
    <w:uiPriority w:val="98"/>
    <w:semiHidden/>
    <w:rsid w:val="00B12EF5"/>
    <w:rPr>
      <w:rFonts w:asciiTheme="minorHAnsi" w:eastAsiaTheme="minorEastAsia" w:hAnsiTheme="minorHAnsi" w:cstheme="minorBidi"/>
      <w:smallCaps/>
      <w:color w:val="B2B2B2" w:themeColor="accent2"/>
      <w:szCs w:val="24"/>
      <w:u w:val="single"/>
    </w:rPr>
  </w:style>
  <w:style w:type="table" w:styleId="Table3Deffects1">
    <w:name w:val="Table 3D effects 1"/>
    <w:basedOn w:val="TableNormal"/>
    <w:uiPriority w:val="98"/>
    <w:semiHidden/>
    <w:rsid w:val="00B12EF5"/>
    <w:pPr>
      <w:spacing w:line="264" w:lineRule="auto"/>
      <w:jc w:val="both"/>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iPriority w:val="98"/>
    <w:semiHidden/>
    <w:rsid w:val="00B12EF5"/>
    <w:pPr>
      <w:spacing w:line="264" w:lineRule="auto"/>
      <w:jc w:val="both"/>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iPriority w:val="98"/>
    <w:semiHidden/>
    <w:rsid w:val="00B12EF5"/>
    <w:pPr>
      <w:spacing w:line="264" w:lineRule="auto"/>
      <w:jc w:val="both"/>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uiPriority w:val="98"/>
    <w:semiHidden/>
    <w:rsid w:val="00B12EF5"/>
    <w:pPr>
      <w:spacing w:line="264" w:lineRule="auto"/>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iPriority w:val="98"/>
    <w:semiHidden/>
    <w:rsid w:val="00B12EF5"/>
    <w:pPr>
      <w:spacing w:line="264" w:lineRule="auto"/>
      <w:jc w:val="both"/>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iPriority w:val="98"/>
    <w:semiHidden/>
    <w:rsid w:val="00B12EF5"/>
    <w:pPr>
      <w:spacing w:line="264" w:lineRule="auto"/>
      <w:jc w:val="both"/>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iPriority w:val="98"/>
    <w:semiHidden/>
    <w:rsid w:val="00B12EF5"/>
    <w:pPr>
      <w:spacing w:line="264" w:lineRule="auto"/>
      <w:jc w:val="both"/>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iPriority w:val="98"/>
    <w:semiHidden/>
    <w:rsid w:val="00B12EF5"/>
    <w:pPr>
      <w:spacing w:line="264" w:lineRule="auto"/>
      <w:jc w:val="both"/>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iPriority w:val="98"/>
    <w:semiHidden/>
    <w:rsid w:val="00B12EF5"/>
    <w:pPr>
      <w:spacing w:line="264" w:lineRule="auto"/>
      <w:jc w:val="both"/>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iPriority w:val="98"/>
    <w:semiHidden/>
    <w:rsid w:val="00B12EF5"/>
    <w:pPr>
      <w:spacing w:line="264" w:lineRule="auto"/>
      <w:jc w:val="both"/>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iPriority w:val="98"/>
    <w:semiHidden/>
    <w:rsid w:val="00B12EF5"/>
    <w:pPr>
      <w:spacing w:line="264" w:lineRule="auto"/>
      <w:jc w:val="both"/>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iPriority w:val="98"/>
    <w:semiHidden/>
    <w:rsid w:val="00B12EF5"/>
    <w:pPr>
      <w:spacing w:line="264" w:lineRule="auto"/>
      <w:jc w:val="both"/>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iPriority w:val="98"/>
    <w:semiHidden/>
    <w:rsid w:val="00B12EF5"/>
    <w:pPr>
      <w:spacing w:line="264" w:lineRule="auto"/>
      <w:jc w:val="both"/>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iPriority w:val="98"/>
    <w:semiHidden/>
    <w:rsid w:val="00B12EF5"/>
    <w:pPr>
      <w:spacing w:line="264" w:lineRule="auto"/>
      <w:jc w:val="both"/>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iPriority w:val="98"/>
    <w:semiHidden/>
    <w:rsid w:val="00B12EF5"/>
    <w:pPr>
      <w:spacing w:line="264" w:lineRule="auto"/>
      <w:jc w:val="both"/>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uiPriority w:val="98"/>
    <w:semiHidden/>
    <w:rsid w:val="00B12EF5"/>
    <w:pPr>
      <w:spacing w:line="264" w:lineRule="auto"/>
      <w:jc w:val="both"/>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iPriority w:val="98"/>
    <w:semiHidden/>
    <w:rsid w:val="00B12EF5"/>
    <w:pPr>
      <w:spacing w:line="264" w:lineRule="auto"/>
      <w:jc w:val="both"/>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uiPriority w:val="98"/>
    <w:rsid w:val="00B12EF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uiPriority w:val="98"/>
    <w:semiHidden/>
    <w:rsid w:val="00B12EF5"/>
    <w:pPr>
      <w:spacing w:line="264" w:lineRule="auto"/>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uiPriority w:val="98"/>
    <w:semiHidden/>
    <w:rsid w:val="00B12EF5"/>
    <w:pPr>
      <w:spacing w:line="264" w:lineRule="auto"/>
      <w:jc w:val="both"/>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iPriority w:val="98"/>
    <w:semiHidden/>
    <w:rsid w:val="00B12EF5"/>
    <w:pPr>
      <w:spacing w:line="264" w:lineRule="auto"/>
      <w:jc w:val="both"/>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uiPriority w:val="98"/>
    <w:semiHidden/>
    <w:rsid w:val="00B12EF5"/>
    <w:pPr>
      <w:spacing w:line="264" w:lineRule="auto"/>
      <w:jc w:val="both"/>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iPriority w:val="98"/>
    <w:semiHidden/>
    <w:rsid w:val="00B12EF5"/>
    <w:pPr>
      <w:spacing w:line="264" w:lineRule="auto"/>
      <w:jc w:val="both"/>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iPriority w:val="98"/>
    <w:semiHidden/>
    <w:rsid w:val="00B12EF5"/>
    <w:pPr>
      <w:spacing w:line="264" w:lineRule="auto"/>
      <w:jc w:val="both"/>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iPriority w:val="98"/>
    <w:semiHidden/>
    <w:rsid w:val="00B12EF5"/>
    <w:pPr>
      <w:spacing w:line="264" w:lineRule="auto"/>
      <w:jc w:val="both"/>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iPriority w:val="98"/>
    <w:semiHidden/>
    <w:rsid w:val="00B12EF5"/>
    <w:pPr>
      <w:spacing w:line="264" w:lineRule="auto"/>
      <w:jc w:val="both"/>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iPriority w:val="98"/>
    <w:semiHidden/>
    <w:rsid w:val="00B12EF5"/>
    <w:pPr>
      <w:spacing w:line="264" w:lineRule="auto"/>
      <w:jc w:val="both"/>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iPriority w:val="98"/>
    <w:semiHidden/>
    <w:rsid w:val="00B12EF5"/>
    <w:pPr>
      <w:spacing w:line="264" w:lineRule="auto"/>
      <w:jc w:val="both"/>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iPriority w:val="98"/>
    <w:semiHidden/>
    <w:rsid w:val="00B12EF5"/>
    <w:pPr>
      <w:spacing w:line="264" w:lineRule="auto"/>
      <w:jc w:val="both"/>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iPriority w:val="98"/>
    <w:semiHidden/>
    <w:rsid w:val="00B12EF5"/>
    <w:pPr>
      <w:spacing w:line="264" w:lineRule="auto"/>
      <w:jc w:val="both"/>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iPriority w:val="98"/>
    <w:semiHidden/>
    <w:rsid w:val="00B12EF5"/>
    <w:pPr>
      <w:spacing w:line="264" w:lineRule="auto"/>
      <w:jc w:val="both"/>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iPriority w:val="98"/>
    <w:semiHidden/>
    <w:rsid w:val="00B12EF5"/>
    <w:pPr>
      <w:spacing w:line="264" w:lineRule="auto"/>
      <w:jc w:val="both"/>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uiPriority w:val="98"/>
    <w:semiHidden/>
    <w:rsid w:val="00B12EF5"/>
    <w:pPr>
      <w:spacing w:line="264" w:lineRule="auto"/>
      <w:jc w:val="both"/>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iPriority w:val="98"/>
    <w:semiHidden/>
    <w:rsid w:val="00B12EF5"/>
    <w:pPr>
      <w:spacing w:line="264" w:lineRule="auto"/>
      <w:jc w:val="both"/>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styleId="TableofAuthorities">
    <w:name w:val="table of authorities"/>
    <w:basedOn w:val="Normal"/>
    <w:next w:val="Normal"/>
    <w:uiPriority w:val="98"/>
    <w:semiHidden/>
    <w:rsid w:val="00B12EF5"/>
    <w:pPr>
      <w:ind w:left="180" w:hanging="180"/>
    </w:pPr>
  </w:style>
  <w:style w:type="paragraph" w:styleId="TableofFigures">
    <w:name w:val="table of figures"/>
    <w:basedOn w:val="Normal"/>
    <w:next w:val="Normal"/>
    <w:uiPriority w:val="98"/>
    <w:semiHidden/>
    <w:rsid w:val="00B12EF5"/>
  </w:style>
  <w:style w:type="table" w:styleId="TableProfessional">
    <w:name w:val="Table Professional"/>
    <w:basedOn w:val="TableNormal"/>
    <w:uiPriority w:val="98"/>
    <w:semiHidden/>
    <w:rsid w:val="00B12EF5"/>
    <w:pPr>
      <w:spacing w:line="264" w:lineRule="auto"/>
      <w:jc w:val="both"/>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uiPriority w:val="98"/>
    <w:semiHidden/>
    <w:rsid w:val="00B12EF5"/>
    <w:pPr>
      <w:spacing w:line="264" w:lineRule="auto"/>
      <w:jc w:val="both"/>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iPriority w:val="98"/>
    <w:semiHidden/>
    <w:rsid w:val="00B12EF5"/>
    <w:pPr>
      <w:spacing w:line="264" w:lineRule="auto"/>
      <w:jc w:val="both"/>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iPriority w:val="98"/>
    <w:semiHidden/>
    <w:rsid w:val="00B12EF5"/>
    <w:pPr>
      <w:spacing w:line="264" w:lineRule="auto"/>
      <w:jc w:val="both"/>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uiPriority w:val="98"/>
    <w:semiHidden/>
    <w:rsid w:val="00B12EF5"/>
    <w:pPr>
      <w:spacing w:line="264" w:lineRule="auto"/>
      <w:jc w:val="both"/>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iPriority w:val="98"/>
    <w:semiHidden/>
    <w:rsid w:val="00B12EF5"/>
    <w:pPr>
      <w:spacing w:line="264" w:lineRule="auto"/>
      <w:jc w:val="both"/>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uiPriority w:val="98"/>
    <w:semiHidden/>
    <w:rsid w:val="00B12EF5"/>
    <w:pPr>
      <w:spacing w:line="264" w:lineRule="auto"/>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uiPriority w:val="98"/>
    <w:semiHidden/>
    <w:rsid w:val="00B12EF5"/>
    <w:pPr>
      <w:spacing w:line="264" w:lineRule="auto"/>
      <w:jc w:val="both"/>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iPriority w:val="98"/>
    <w:semiHidden/>
    <w:rsid w:val="00B12EF5"/>
    <w:pPr>
      <w:spacing w:line="264" w:lineRule="auto"/>
      <w:jc w:val="both"/>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iPriority w:val="98"/>
    <w:semiHidden/>
    <w:rsid w:val="00B12EF5"/>
    <w:pPr>
      <w:spacing w:line="264" w:lineRule="auto"/>
      <w:jc w:val="both"/>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Title">
    <w:name w:val="Title"/>
    <w:basedOn w:val="Normal"/>
    <w:next w:val="Normal"/>
    <w:link w:val="TitleChar"/>
    <w:uiPriority w:val="98"/>
    <w:semiHidden/>
    <w:rsid w:val="00B12EF5"/>
    <w:pPr>
      <w:pBdr>
        <w:bottom w:val="single" w:sz="8" w:space="4" w:color="DDDDDD" w:themeColor="accent1"/>
      </w:pBdr>
      <w:spacing w:after="300" w:line="240" w:lineRule="auto"/>
      <w:contextualSpacing/>
    </w:pPr>
    <w:rPr>
      <w:color w:val="000000" w:themeColor="text2" w:themeShade="BF"/>
      <w:spacing w:val="5"/>
      <w:kern w:val="28"/>
      <w:sz w:val="52"/>
      <w:szCs w:val="58"/>
    </w:rPr>
  </w:style>
  <w:style w:type="character" w:customStyle="1" w:styleId="TitleChar">
    <w:name w:val="Title Char"/>
    <w:basedOn w:val="DefaultParagraphFont"/>
    <w:link w:val="Title"/>
    <w:uiPriority w:val="98"/>
    <w:semiHidden/>
    <w:rsid w:val="00B12EF5"/>
    <w:rPr>
      <w:rFonts w:asciiTheme="minorHAnsi" w:eastAsiaTheme="minorEastAsia" w:hAnsiTheme="minorHAnsi" w:cstheme="minorBidi"/>
      <w:color w:val="000000" w:themeColor="text2" w:themeShade="BF"/>
      <w:spacing w:val="5"/>
      <w:kern w:val="28"/>
      <w:sz w:val="52"/>
      <w:szCs w:val="58"/>
    </w:rPr>
  </w:style>
  <w:style w:type="paragraph" w:styleId="TOAHeading">
    <w:name w:val="toa heading"/>
    <w:basedOn w:val="Normal"/>
    <w:next w:val="Normal"/>
    <w:uiPriority w:val="98"/>
    <w:semiHidden/>
    <w:rsid w:val="00B12EF5"/>
    <w:pPr>
      <w:spacing w:before="120"/>
    </w:pPr>
    <w:rPr>
      <w:b/>
      <w:bCs/>
      <w:sz w:val="24"/>
      <w:szCs w:val="30"/>
    </w:rPr>
  </w:style>
  <w:style w:type="paragraph" w:styleId="TOC1">
    <w:name w:val="toc 1"/>
    <w:basedOn w:val="NormalAshurst"/>
    <w:uiPriority w:val="98"/>
    <w:rsid w:val="0090150D"/>
    <w:pPr>
      <w:tabs>
        <w:tab w:val="left" w:pos="782"/>
        <w:tab w:val="right" w:leader="dot" w:pos="9072"/>
      </w:tabs>
      <w:spacing w:after="0"/>
      <w:ind w:left="782" w:hanging="782"/>
    </w:pPr>
    <w:rPr>
      <w:caps/>
      <w:noProof/>
      <w:lang w:eastAsia="zh-CN"/>
    </w:rPr>
  </w:style>
  <w:style w:type="paragraph" w:styleId="TOC2">
    <w:name w:val="toc 2"/>
    <w:basedOn w:val="TOC1"/>
    <w:uiPriority w:val="98"/>
    <w:rsid w:val="0090150D"/>
    <w:rPr>
      <w:caps w:val="0"/>
    </w:rPr>
  </w:style>
  <w:style w:type="paragraph" w:styleId="TOC3">
    <w:name w:val="toc 3"/>
    <w:basedOn w:val="TOC1"/>
    <w:uiPriority w:val="98"/>
    <w:rsid w:val="0090150D"/>
    <w:pPr>
      <w:tabs>
        <w:tab w:val="clear" w:pos="782"/>
      </w:tabs>
      <w:ind w:left="0" w:firstLine="0"/>
    </w:pPr>
  </w:style>
  <w:style w:type="paragraph" w:styleId="TOC4">
    <w:name w:val="toc 4"/>
    <w:basedOn w:val="TOC1"/>
    <w:uiPriority w:val="98"/>
    <w:rsid w:val="0090150D"/>
    <w:pPr>
      <w:tabs>
        <w:tab w:val="clear" w:pos="782"/>
      </w:tabs>
      <w:ind w:left="0" w:firstLine="0"/>
    </w:pPr>
    <w:rPr>
      <w:caps w:val="0"/>
    </w:rPr>
  </w:style>
  <w:style w:type="paragraph" w:styleId="TOC5">
    <w:name w:val="toc 5"/>
    <w:basedOn w:val="Normal"/>
    <w:next w:val="Normal"/>
    <w:uiPriority w:val="98"/>
    <w:rsid w:val="00B12EF5"/>
    <w:pPr>
      <w:spacing w:after="100"/>
      <w:ind w:left="720"/>
    </w:pPr>
  </w:style>
  <w:style w:type="paragraph" w:styleId="TOC6">
    <w:name w:val="toc 6"/>
    <w:basedOn w:val="Normal"/>
    <w:next w:val="Normal"/>
    <w:uiPriority w:val="98"/>
    <w:rsid w:val="00B12EF5"/>
    <w:pPr>
      <w:spacing w:after="100"/>
      <w:ind w:left="900"/>
    </w:pPr>
  </w:style>
  <w:style w:type="paragraph" w:styleId="TOC7">
    <w:name w:val="toc 7"/>
    <w:basedOn w:val="Normal"/>
    <w:next w:val="Normal"/>
    <w:uiPriority w:val="98"/>
    <w:rsid w:val="00B12EF5"/>
    <w:pPr>
      <w:spacing w:after="100"/>
      <w:ind w:left="1080"/>
    </w:pPr>
  </w:style>
  <w:style w:type="paragraph" w:styleId="TOC8">
    <w:name w:val="toc 8"/>
    <w:basedOn w:val="Normal"/>
    <w:next w:val="Normal"/>
    <w:uiPriority w:val="98"/>
    <w:rsid w:val="00B12EF5"/>
    <w:pPr>
      <w:spacing w:after="100"/>
      <w:ind w:left="1260"/>
    </w:pPr>
  </w:style>
  <w:style w:type="paragraph" w:styleId="TOC9">
    <w:name w:val="toc 9"/>
    <w:basedOn w:val="Normal"/>
    <w:next w:val="Normal"/>
    <w:uiPriority w:val="98"/>
    <w:rsid w:val="00B12EF5"/>
    <w:pPr>
      <w:spacing w:after="100"/>
      <w:ind w:left="1440"/>
    </w:pPr>
  </w:style>
  <w:style w:type="paragraph" w:styleId="TOCHeading">
    <w:name w:val="TOC Heading"/>
    <w:basedOn w:val="Heading1"/>
    <w:next w:val="Normal"/>
    <w:uiPriority w:val="98"/>
    <w:rsid w:val="00B12EF5"/>
    <w:pPr>
      <w:keepNext/>
      <w:keepLines/>
      <w:numPr>
        <w:numId w:val="0"/>
      </w:numPr>
      <w:suppressAutoHyphens w:val="0"/>
      <w:spacing w:before="480" w:after="0"/>
      <w:outlineLvl w:val="9"/>
    </w:pPr>
    <w:rPr>
      <w:b/>
      <w:color w:val="A5A5A5" w:themeColor="accent1" w:themeShade="BF"/>
      <w:kern w:val="0"/>
      <w:sz w:val="28"/>
      <w:szCs w:val="34"/>
      <w:lang w:eastAsia="en-GB"/>
    </w:rPr>
  </w:style>
  <w:style w:type="character" w:customStyle="1" w:styleId="StandardAshurstChar">
    <w:name w:val="StandardAshurst Char"/>
    <w:basedOn w:val="DefaultParagraphFont"/>
    <w:link w:val="StandardAshurst"/>
    <w:rsid w:val="00B12EF5"/>
    <w:rPr>
      <w:rFonts w:asciiTheme="minorHAnsi" w:eastAsiaTheme="minorEastAsia" w:hAnsiTheme="minorHAnsi" w:cstheme="minorBidi"/>
      <w:szCs w:val="24"/>
    </w:rPr>
  </w:style>
  <w:style w:type="paragraph" w:customStyle="1" w:styleId="Alt2RecitalsAshurst">
    <w:name w:val="Alt2_RecitalsAshurst"/>
    <w:basedOn w:val="NormalAshurst"/>
    <w:rsid w:val="009B082F"/>
    <w:pPr>
      <w:numPr>
        <w:numId w:val="33"/>
      </w:numPr>
      <w:outlineLvl w:val="0"/>
    </w:pPr>
    <w:rPr>
      <w:lang w:eastAsia="zh-CN"/>
    </w:rPr>
  </w:style>
  <w:style w:type="paragraph" w:customStyle="1" w:styleId="AltPartiesAshurst">
    <w:name w:val="AltPartiesAshurst"/>
    <w:basedOn w:val="NormalAshurst"/>
    <w:rsid w:val="009B082F"/>
    <w:pPr>
      <w:numPr>
        <w:numId w:val="34"/>
      </w:numPr>
      <w:outlineLvl w:val="0"/>
    </w:pPr>
    <w:rPr>
      <w:lang w:eastAsia="zh-CN"/>
    </w:rPr>
  </w:style>
  <w:style w:type="table" w:customStyle="1" w:styleId="MPTTable1">
    <w:name w:val="MPT Table 1"/>
    <w:basedOn w:val="TableNormal"/>
    <w:rsid w:val="00290483"/>
    <w:rPr>
      <w:rFonts w:eastAsiaTheme="minorHAnsi"/>
      <w:lang w:eastAsia="zh-CN"/>
    </w:rPr>
    <w:tblPr>
      <w:tblBorders>
        <w:bottom w:val="single" w:sz="8" w:space="0" w:color="FFFFFF" w:themeColor="background1"/>
        <w:insideH w:val="single" w:sz="8" w:space="0" w:color="FFFFFF" w:themeColor="background1"/>
        <w:insideV w:val="single" w:sz="8" w:space="0" w:color="FFFFFF" w:themeColor="background1"/>
      </w:tblBorders>
      <w:tblCellMar>
        <w:top w:w="85" w:type="dxa"/>
        <w:bottom w:w="85" w:type="dxa"/>
      </w:tblCellMar>
    </w:tblPr>
    <w:tcPr>
      <w:shd w:val="clear" w:color="auto" w:fill="F8F8F8" w:themeFill="accent1" w:themeFillTint="33"/>
    </w:tcPr>
    <w:tblStylePr w:type="firstRow">
      <w:pPr>
        <w:wordWrap/>
        <w:spacing w:beforeLines="0" w:before="0" w:beforeAutospacing="0" w:afterLines="0" w:after="0" w:afterAutospacing="0" w:line="220" w:lineRule="exact"/>
        <w:jc w:val="left"/>
      </w:pPr>
      <w:rPr>
        <w:rFonts w:asciiTheme="minorHAnsi" w:hAnsiTheme="minorHAnsi"/>
        <w:b/>
        <w:caps/>
        <w:smallCaps w:val="0"/>
        <w:color w:val="FFFFFF" w:themeColor="background1"/>
        <w:sz w:val="18"/>
      </w:rPr>
      <w:tblPr/>
      <w:tcPr>
        <w:shd w:val="clear" w:color="auto" w:fill="DDDDDD" w:themeFill="accent1"/>
        <w:vAlign w:val="top"/>
      </w:tcPr>
    </w:tblStylePr>
    <w:tblStylePr w:type="lastRow">
      <w:pPr>
        <w:wordWrap/>
        <w:spacing w:beforeLines="0" w:before="0" w:beforeAutospacing="0" w:afterLines="0" w:after="0" w:afterAutospacing="0" w:line="240" w:lineRule="auto"/>
        <w:jc w:val="left"/>
      </w:pPr>
      <w:rPr>
        <w:rFonts w:asciiTheme="minorHAnsi" w:hAnsiTheme="minorHAnsi"/>
        <w:b/>
        <w:sz w:val="18"/>
      </w:rPr>
      <w:tblPr/>
      <w:tcPr>
        <w:shd w:val="clear" w:color="auto" w:fill="F8F8F8" w:themeFill="accent1" w:themeFillTint="33"/>
      </w:tcPr>
    </w:tblStylePr>
  </w:style>
  <w:style w:type="table" w:customStyle="1" w:styleId="MPTTable2">
    <w:name w:val="MPT Table 2"/>
    <w:basedOn w:val="MPTTable1"/>
    <w:rsid w:val="00453B0E"/>
    <w:tblPr>
      <w:tblBorders>
        <w:bottom w:val="single" w:sz="8" w:space="0" w:color="DDDDDD" w:themeColor="accent1"/>
        <w:insideH w:val="single" w:sz="8" w:space="0" w:color="DDDDDD" w:themeColor="accent1"/>
        <w:insideV w:val="none" w:sz="0" w:space="0" w:color="auto"/>
      </w:tblBorders>
    </w:tblPr>
    <w:tcPr>
      <w:shd w:val="clear" w:color="auto" w:fill="auto"/>
    </w:tcPr>
    <w:tblStylePr w:type="firstRow">
      <w:pPr>
        <w:wordWrap/>
        <w:spacing w:beforeLines="0" w:before="0" w:beforeAutospacing="0" w:afterLines="0" w:after="0" w:afterAutospacing="0" w:line="220" w:lineRule="exact"/>
        <w:jc w:val="left"/>
      </w:pPr>
      <w:rPr>
        <w:rFonts w:asciiTheme="minorHAnsi" w:hAnsiTheme="minorHAnsi"/>
        <w:b/>
        <w:caps/>
        <w:smallCaps w:val="0"/>
        <w:color w:val="FFFFFF" w:themeColor="background1"/>
        <w:sz w:val="18"/>
      </w:rPr>
      <w:tblPr/>
      <w:tcPr>
        <w:shd w:val="clear" w:color="auto" w:fill="DDDDDD" w:themeFill="accent1"/>
        <w:vAlign w:val="top"/>
      </w:tcPr>
    </w:tblStylePr>
    <w:tblStylePr w:type="lastRow">
      <w:pPr>
        <w:wordWrap/>
        <w:spacing w:beforeLines="0" w:before="0" w:beforeAutospacing="0" w:afterLines="0" w:after="0" w:afterAutospacing="0" w:line="240" w:lineRule="auto"/>
        <w:jc w:val="left"/>
      </w:pPr>
      <w:rPr>
        <w:rFonts w:asciiTheme="minorHAnsi" w:hAnsiTheme="minorHAnsi"/>
        <w:b/>
        <w:sz w:val="18"/>
      </w:rPr>
      <w:tblPr/>
      <w:tcPr>
        <w:shd w:val="clear" w:color="auto" w:fill="F8F8F8" w:themeFill="accent1" w:themeFillTint="33"/>
      </w:tcPr>
    </w:tblStylePr>
  </w:style>
  <w:style w:type="table" w:customStyle="1" w:styleId="MPTTable3">
    <w:name w:val="MPT Table 3"/>
    <w:basedOn w:val="MPTTable1"/>
    <w:rsid w:val="00453B0E"/>
    <w:tblPr>
      <w:tblBorders>
        <w:top w:val="single" w:sz="8" w:space="0" w:color="DDDDDD" w:themeColor="accent1"/>
        <w:left w:val="single" w:sz="8" w:space="0" w:color="DDDDDD" w:themeColor="accent1"/>
        <w:bottom w:val="single" w:sz="8" w:space="0" w:color="DDDDDD" w:themeColor="accent1"/>
        <w:right w:val="single" w:sz="8" w:space="0" w:color="DDDDDD" w:themeColor="accent1"/>
        <w:insideH w:val="single" w:sz="8" w:space="0" w:color="DDDDDD" w:themeColor="accent1"/>
        <w:insideV w:val="single" w:sz="8" w:space="0" w:color="DDDDDD" w:themeColor="accent1"/>
      </w:tblBorders>
    </w:tblPr>
    <w:tcPr>
      <w:shd w:val="clear" w:color="auto" w:fill="auto"/>
    </w:tcPr>
    <w:tblStylePr w:type="firstRow">
      <w:pPr>
        <w:wordWrap/>
        <w:spacing w:beforeLines="0" w:before="0" w:beforeAutospacing="0" w:afterLines="0" w:after="0" w:afterAutospacing="0" w:line="220" w:lineRule="exact"/>
        <w:jc w:val="left"/>
      </w:pPr>
      <w:rPr>
        <w:rFonts w:asciiTheme="minorHAnsi" w:hAnsiTheme="minorHAnsi"/>
        <w:b/>
        <w:caps/>
        <w:smallCaps w:val="0"/>
        <w:color w:val="FFFFFF" w:themeColor="background1"/>
        <w:sz w:val="18"/>
      </w:rPr>
      <w:tblPr/>
      <w:tcPr>
        <w:shd w:val="clear" w:color="auto" w:fill="DDDDDD" w:themeFill="accent1"/>
        <w:vAlign w:val="top"/>
      </w:tcPr>
    </w:tblStylePr>
    <w:tblStylePr w:type="lastRow">
      <w:pPr>
        <w:wordWrap/>
        <w:spacing w:beforeLines="0" w:before="0" w:beforeAutospacing="0" w:afterLines="0" w:after="0" w:afterAutospacing="0" w:line="240" w:lineRule="auto"/>
        <w:jc w:val="left"/>
      </w:pPr>
      <w:rPr>
        <w:rFonts w:asciiTheme="minorHAnsi" w:hAnsiTheme="minorHAnsi"/>
        <w:b/>
        <w:sz w:val="18"/>
      </w:rPr>
      <w:tblPr/>
      <w:tcPr>
        <w:shd w:val="clear" w:color="auto" w:fill="F8F8F8" w:themeFill="accent1" w:themeFillTint="33"/>
      </w:tcPr>
    </w:tblStylePr>
  </w:style>
  <w:style w:type="table" w:customStyle="1" w:styleId="MPTTable4">
    <w:name w:val="MPT Table 4"/>
    <w:basedOn w:val="MPTTable1"/>
    <w:rsid w:val="00453B0E"/>
    <w:tblPr>
      <w:tblStyleRowBandSize w:val="1"/>
    </w:tblPr>
    <w:tcPr>
      <w:shd w:val="clear" w:color="auto" w:fill="auto"/>
    </w:tcPr>
    <w:tblStylePr w:type="firstRow">
      <w:pPr>
        <w:wordWrap/>
        <w:spacing w:beforeLines="0" w:before="0" w:beforeAutospacing="0" w:afterLines="0" w:after="0" w:afterAutospacing="0" w:line="220" w:lineRule="exact"/>
        <w:jc w:val="left"/>
      </w:pPr>
      <w:rPr>
        <w:rFonts w:asciiTheme="minorHAnsi" w:hAnsiTheme="minorHAnsi"/>
        <w:b/>
        <w:caps/>
        <w:smallCaps w:val="0"/>
        <w:color w:val="FFFFFF" w:themeColor="background1"/>
        <w:sz w:val="18"/>
      </w:rPr>
      <w:tblPr/>
      <w:tcPr>
        <w:tcBorders>
          <w:top w:val="nil"/>
          <w:left w:val="nil"/>
          <w:bottom w:val="nil"/>
          <w:right w:val="nil"/>
          <w:insideH w:val="nil"/>
          <w:insideV w:val="nil"/>
          <w:tl2br w:val="nil"/>
          <w:tr2bl w:val="nil"/>
        </w:tcBorders>
        <w:shd w:val="clear" w:color="auto" w:fill="DDDDDD" w:themeFill="accent1"/>
        <w:vAlign w:val="top"/>
      </w:tcPr>
    </w:tblStylePr>
    <w:tblStylePr w:type="lastRow">
      <w:pPr>
        <w:wordWrap/>
        <w:spacing w:beforeLines="0" w:before="0" w:beforeAutospacing="0" w:afterLines="0" w:after="0" w:afterAutospacing="0" w:line="240" w:lineRule="auto"/>
        <w:jc w:val="left"/>
      </w:pPr>
      <w:rPr>
        <w:rFonts w:asciiTheme="minorHAnsi" w:hAnsiTheme="minorHAnsi"/>
        <w:b/>
        <w:sz w:val="18"/>
      </w:rPr>
      <w:tblPr/>
      <w:tcPr>
        <w:tcBorders>
          <w:bottom w:val="single" w:sz="8" w:space="0" w:color="DDDDDD" w:themeColor="accent1"/>
        </w:tcBorders>
        <w:shd w:val="clear" w:color="auto" w:fill="auto"/>
      </w:tcPr>
    </w:tblStylePr>
    <w:tblStylePr w:type="band1Horz">
      <w:tblPr/>
      <w:tcPr>
        <w:tcBorders>
          <w:top w:val="nil"/>
          <w:left w:val="nil"/>
          <w:bottom w:val="nil"/>
          <w:right w:val="nil"/>
          <w:insideH w:val="nil"/>
          <w:insideV w:val="nil"/>
          <w:tl2br w:val="nil"/>
          <w:tr2bl w:val="nil"/>
        </w:tcBorders>
        <w:shd w:val="clear" w:color="auto" w:fill="F8F8F8" w:themeFill="accent1" w:themeFillTint="33"/>
      </w:tcPr>
    </w:tblStylePr>
  </w:style>
  <w:style w:type="table" w:customStyle="1" w:styleId="MPTTable5">
    <w:name w:val="MPT Table 5"/>
    <w:basedOn w:val="MPTTable1"/>
    <w:rsid w:val="00453B0E"/>
    <w:tblPr>
      <w:tblStyleRowBandSize w:val="1"/>
      <w:tblStyleColBandSize w:val="1"/>
      <w:tblBorders>
        <w:top w:val="single" w:sz="8" w:space="0" w:color="DDDDDD" w:themeColor="accent1"/>
        <w:left w:val="single" w:sz="8" w:space="0" w:color="DDDDDD" w:themeColor="accent1"/>
        <w:bottom w:val="single" w:sz="8" w:space="0" w:color="DDDDDD" w:themeColor="accent1"/>
        <w:right w:val="single" w:sz="8" w:space="0" w:color="DDDDDD" w:themeColor="accent1"/>
        <w:insideH w:val="single" w:sz="8" w:space="0" w:color="DDDDDD" w:themeColor="accent1"/>
        <w:insideV w:val="single" w:sz="8" w:space="0" w:color="DDDDDD" w:themeColor="accent1"/>
      </w:tblBorders>
    </w:tblPr>
    <w:tcPr>
      <w:shd w:val="clear" w:color="auto" w:fill="F8F8F8" w:themeFill="accent1" w:themeFillTint="33"/>
    </w:tcPr>
    <w:tblStylePr w:type="firstRow">
      <w:pPr>
        <w:wordWrap/>
        <w:spacing w:beforeLines="0" w:before="0" w:beforeAutospacing="0" w:afterLines="0" w:after="0" w:afterAutospacing="0" w:line="220" w:lineRule="exact"/>
        <w:jc w:val="left"/>
      </w:pPr>
      <w:rPr>
        <w:rFonts w:asciiTheme="minorHAnsi" w:hAnsiTheme="minorHAnsi"/>
        <w:b/>
        <w:caps/>
        <w:smallCaps w:val="0"/>
        <w:color w:val="FFFFFF" w:themeColor="background1"/>
        <w:sz w:val="18"/>
      </w:rPr>
      <w:tblPr/>
      <w:tcPr>
        <w:tcBorders>
          <w:top w:val="single" w:sz="8" w:space="0" w:color="DDDDDD" w:themeColor="accent1"/>
          <w:left w:val="single" w:sz="8" w:space="0" w:color="DDDDDD" w:themeColor="accent1"/>
          <w:bottom w:val="single" w:sz="8" w:space="0" w:color="DDDDDD" w:themeColor="accent1"/>
          <w:right w:val="single" w:sz="8" w:space="0" w:color="DDDDDD" w:themeColor="accent1"/>
          <w:insideH w:val="nil"/>
          <w:insideV w:val="nil"/>
          <w:tl2br w:val="nil"/>
          <w:tr2bl w:val="nil"/>
        </w:tcBorders>
        <w:shd w:val="clear" w:color="auto" w:fill="DDDDDD" w:themeFill="accent1"/>
        <w:vAlign w:val="top"/>
      </w:tcPr>
    </w:tblStylePr>
    <w:tblStylePr w:type="lastRow">
      <w:pPr>
        <w:wordWrap/>
        <w:spacing w:beforeLines="0" w:before="0" w:beforeAutospacing="0" w:afterLines="0" w:after="0" w:afterAutospacing="0" w:line="240" w:lineRule="auto"/>
        <w:jc w:val="left"/>
      </w:pPr>
      <w:rPr>
        <w:rFonts w:asciiTheme="minorHAnsi" w:hAnsiTheme="minorHAnsi"/>
        <w:b/>
        <w:sz w:val="18"/>
      </w:rPr>
      <w:tblPr/>
      <w:tcPr>
        <w:tcBorders>
          <w:top w:val="single" w:sz="8" w:space="0" w:color="DDDDDD" w:themeColor="accent1"/>
          <w:left w:val="single" w:sz="8" w:space="0" w:color="DDDDDD" w:themeColor="accent1"/>
          <w:bottom w:val="single" w:sz="8" w:space="0" w:color="DDDDDD" w:themeColor="accent1"/>
          <w:right w:val="single" w:sz="8" w:space="0" w:color="DDDDDD" w:themeColor="accent1"/>
          <w:insideH w:val="single" w:sz="8" w:space="0" w:color="DDDDDD" w:themeColor="accent1"/>
          <w:insideV w:val="single" w:sz="8" w:space="0" w:color="DDDDDD" w:themeColor="accent1"/>
          <w:tl2br w:val="nil"/>
          <w:tr2bl w:val="nil"/>
        </w:tcBorders>
        <w:shd w:val="clear" w:color="auto" w:fill="auto"/>
      </w:tcPr>
    </w:tblStylePr>
    <w:tblStylePr w:type="firstCol">
      <w:tblPr/>
      <w:tcPr>
        <w:tcBorders>
          <w:top w:val="single" w:sz="8" w:space="0" w:color="DDDDDD" w:themeColor="accent1"/>
          <w:left w:val="single" w:sz="8" w:space="0" w:color="DDDDDD" w:themeColor="accent1"/>
          <w:bottom w:val="single" w:sz="8" w:space="0" w:color="DDDDDD" w:themeColor="accent1"/>
          <w:right w:val="single" w:sz="8" w:space="0" w:color="DDDDDD" w:themeColor="accent1"/>
          <w:insideH w:val="single" w:sz="8" w:space="0" w:color="DDDDDD" w:themeColor="accent1"/>
          <w:insideV w:val="single" w:sz="8" w:space="0" w:color="DDDDDD" w:themeColor="accent1"/>
          <w:tl2br w:val="nil"/>
          <w:tr2bl w:val="nil"/>
        </w:tcBorders>
        <w:shd w:val="clear" w:color="auto" w:fill="F8F8F8" w:themeFill="accent1" w:themeFillTint="33"/>
      </w:tcPr>
    </w:tblStylePr>
    <w:tblStylePr w:type="lastCol">
      <w:tblPr/>
      <w:tcPr>
        <w:tcBorders>
          <w:top w:val="single" w:sz="8" w:space="0" w:color="DDDDDD" w:themeColor="accent1"/>
          <w:left w:val="single" w:sz="8" w:space="0" w:color="DDDDDD" w:themeColor="accent1"/>
          <w:bottom w:val="single" w:sz="8" w:space="0" w:color="DDDDDD" w:themeColor="accent1"/>
          <w:right w:val="single" w:sz="8" w:space="0" w:color="DDDDDD" w:themeColor="accent1"/>
          <w:insideH w:val="single" w:sz="8" w:space="0" w:color="DDDDDD" w:themeColor="accent1"/>
          <w:insideV w:val="single" w:sz="8" w:space="0" w:color="DDDDDD" w:themeColor="accent1"/>
          <w:tl2br w:val="nil"/>
          <w:tr2bl w:val="nil"/>
        </w:tcBorders>
        <w:shd w:val="clear" w:color="auto" w:fill="auto"/>
      </w:tcPr>
    </w:tblStylePr>
    <w:tblStylePr w:type="band1Vert">
      <w:tblPr/>
      <w:tcPr>
        <w:tcBorders>
          <w:top w:val="single" w:sz="8" w:space="0" w:color="DDDDDD" w:themeColor="accent1"/>
          <w:left w:val="single" w:sz="8" w:space="0" w:color="DDDDDD" w:themeColor="accent1"/>
          <w:bottom w:val="single" w:sz="8" w:space="0" w:color="DDDDDD" w:themeColor="accent1"/>
          <w:right w:val="single" w:sz="8" w:space="0" w:color="DDDDDD" w:themeColor="accent1"/>
          <w:insideH w:val="single" w:sz="8" w:space="0" w:color="DDDDDD" w:themeColor="accent1"/>
          <w:insideV w:val="single" w:sz="8" w:space="0" w:color="DDDDDD" w:themeColor="accent1"/>
          <w:tl2br w:val="nil"/>
          <w:tr2bl w:val="nil"/>
        </w:tcBorders>
        <w:shd w:val="clear" w:color="auto" w:fill="auto"/>
      </w:tcPr>
    </w:tblStylePr>
    <w:tblStylePr w:type="band2Vert">
      <w:tblPr/>
      <w:tcPr>
        <w:tcBorders>
          <w:top w:val="single" w:sz="8" w:space="0" w:color="DDDDDD" w:themeColor="accent1"/>
          <w:left w:val="single" w:sz="8" w:space="0" w:color="DDDDDD" w:themeColor="accent1"/>
          <w:bottom w:val="single" w:sz="8" w:space="0" w:color="DDDDDD" w:themeColor="accent1"/>
          <w:right w:val="single" w:sz="8" w:space="0" w:color="DDDDDD" w:themeColor="accent1"/>
          <w:insideH w:val="single" w:sz="8" w:space="0" w:color="DDDDDD" w:themeColor="accent1"/>
          <w:insideV w:val="single" w:sz="8" w:space="0" w:color="DDDDDD" w:themeColor="accent1"/>
          <w:tl2br w:val="nil"/>
          <w:tr2bl w:val="nil"/>
        </w:tcBorders>
        <w:shd w:val="clear" w:color="auto" w:fill="auto"/>
      </w:tcPr>
    </w:tblStylePr>
    <w:tblStylePr w:type="band1Horz">
      <w:tblPr/>
      <w:tcPr>
        <w:tcBorders>
          <w:top w:val="nil"/>
          <w:left w:val="nil"/>
          <w:bottom w:val="single" w:sz="8" w:space="0" w:color="DDDDDD" w:themeColor="accent1"/>
          <w:right w:val="single" w:sz="8" w:space="0" w:color="DDDDDD" w:themeColor="accent1"/>
          <w:insideH w:val="nil"/>
          <w:insideV w:val="nil"/>
          <w:tl2br w:val="nil"/>
          <w:tr2bl w:val="nil"/>
        </w:tcBorders>
        <w:shd w:val="clear" w:color="auto" w:fill="auto"/>
      </w:tcPr>
    </w:tblStylePr>
    <w:tblStylePr w:type="band2Horz">
      <w:tblPr/>
      <w:tcPr>
        <w:tcBorders>
          <w:top w:val="nil"/>
          <w:left w:val="nil"/>
          <w:bottom w:val="single" w:sz="8" w:space="0" w:color="DDDDDD" w:themeColor="accent1"/>
          <w:right w:val="single" w:sz="8" w:space="0" w:color="DDDDDD" w:themeColor="accent1"/>
          <w:insideH w:val="nil"/>
          <w:insideV w:val="nil"/>
          <w:tl2br w:val="nil"/>
          <w:tr2bl w:val="nil"/>
        </w:tcBorders>
        <w:shd w:val="clear" w:color="auto" w:fill="auto"/>
      </w:tcPr>
    </w:tblStylePr>
  </w:style>
  <w:style w:type="table" w:customStyle="1" w:styleId="MPTTableSlate1">
    <w:name w:val="MPT Table Slate 1"/>
    <w:basedOn w:val="MPTTable1"/>
    <w:rsid w:val="00453B0E"/>
    <w:tblPr>
      <w:tblStyleRowBandSize w:val="1"/>
    </w:tblPr>
    <w:tcPr>
      <w:shd w:val="clear" w:color="auto" w:fill="CCCCCC" w:themeFill="text1" w:themeFillTint="33"/>
    </w:tcPr>
    <w:tblStylePr w:type="firstRow">
      <w:pPr>
        <w:wordWrap/>
        <w:spacing w:beforeLines="0" w:before="0" w:beforeAutospacing="0" w:afterLines="0" w:after="0" w:afterAutospacing="0" w:line="240" w:lineRule="auto"/>
        <w:jc w:val="left"/>
      </w:pPr>
      <w:rPr>
        <w:rFonts w:asciiTheme="minorHAnsi" w:hAnsiTheme="minorHAnsi"/>
        <w:b/>
        <w:caps/>
        <w:smallCaps w:val="0"/>
        <w:color w:val="FFFFFF" w:themeColor="background1"/>
        <w:sz w:val="18"/>
      </w:rPr>
      <w:tblPr/>
      <w:tcPr>
        <w:tcBorders>
          <w:top w:val="nil"/>
          <w:bottom w:val="single" w:sz="8" w:space="0" w:color="FFFFFF" w:themeColor="background1"/>
          <w:insideH w:val="single" w:sz="8" w:space="0" w:color="FFFFFF" w:themeColor="background1"/>
          <w:insideV w:val="single" w:sz="8" w:space="0" w:color="FFFFFF" w:themeColor="background1"/>
        </w:tcBorders>
        <w:shd w:val="clear" w:color="auto" w:fill="000000" w:themeFill="text1"/>
        <w:vAlign w:val="top"/>
      </w:tcPr>
    </w:tblStylePr>
    <w:tblStylePr w:type="lastRow">
      <w:pPr>
        <w:wordWrap/>
        <w:spacing w:beforeLines="0" w:before="0" w:beforeAutospacing="0" w:afterLines="0" w:after="0" w:afterAutospacing="0" w:line="240" w:lineRule="auto"/>
        <w:jc w:val="left"/>
      </w:pPr>
      <w:rPr>
        <w:rFonts w:asciiTheme="minorHAnsi" w:hAnsiTheme="minorHAnsi"/>
        <w:b/>
        <w:sz w:val="18"/>
      </w:rPr>
      <w:tblPr/>
      <w:tcPr>
        <w:shd w:val="clear" w:color="auto" w:fill="CCCCCC" w:themeFill="text1" w:themeFillTint="33"/>
      </w:tcPr>
    </w:tblStylePr>
    <w:tblStylePr w:type="band1Horz">
      <w:tblPr/>
      <w:tcPr>
        <w:shd w:val="clear" w:color="auto" w:fill="CCCCCC" w:themeFill="text1" w:themeFillTint="33"/>
      </w:tcPr>
    </w:tblStylePr>
  </w:style>
  <w:style w:type="table" w:customStyle="1" w:styleId="MPTTableSlate2">
    <w:name w:val="MPT Table Slate 2"/>
    <w:basedOn w:val="MPTTable2"/>
    <w:rsid w:val="00453B0E"/>
    <w:tblPr>
      <w:tblBorders>
        <w:bottom w:val="single" w:sz="8" w:space="0" w:color="000000" w:themeColor="text1"/>
        <w:insideH w:val="single" w:sz="8" w:space="0" w:color="000000" w:themeColor="text1"/>
      </w:tblBorders>
    </w:tblPr>
    <w:tcPr>
      <w:shd w:val="clear" w:color="auto" w:fill="auto"/>
    </w:tcPr>
    <w:tblStylePr w:type="firstRow">
      <w:pPr>
        <w:wordWrap/>
        <w:spacing w:beforeLines="0" w:before="0" w:beforeAutospacing="0" w:afterLines="0" w:after="0" w:afterAutospacing="0" w:line="220" w:lineRule="exact"/>
        <w:jc w:val="left"/>
      </w:pPr>
      <w:rPr>
        <w:rFonts w:asciiTheme="minorHAnsi" w:hAnsiTheme="minorHAnsi"/>
        <w:b/>
        <w:caps/>
        <w:smallCaps w:val="0"/>
        <w:color w:val="FFFFFF" w:themeColor="background1"/>
        <w:sz w:val="18"/>
      </w:rPr>
      <w:tblPr/>
      <w:tcPr>
        <w:tcBorders>
          <w:top w:val="nil"/>
          <w:left w:val="nil"/>
          <w:bottom w:val="nil"/>
          <w:right w:val="nil"/>
          <w:insideH w:val="single" w:sz="4" w:space="0" w:color="000000" w:themeColor="text1"/>
          <w:insideV w:val="nil"/>
          <w:tl2br w:val="nil"/>
          <w:tr2bl w:val="nil"/>
        </w:tcBorders>
        <w:shd w:val="clear" w:color="auto" w:fill="000000" w:themeFill="text1"/>
        <w:vAlign w:val="top"/>
      </w:tcPr>
    </w:tblStylePr>
    <w:tblStylePr w:type="lastRow">
      <w:pPr>
        <w:wordWrap/>
        <w:spacing w:beforeLines="0" w:before="0" w:beforeAutospacing="0" w:afterLines="0" w:after="0" w:afterAutospacing="0" w:line="240" w:lineRule="auto"/>
        <w:jc w:val="left"/>
      </w:pPr>
      <w:rPr>
        <w:rFonts w:asciiTheme="minorHAnsi" w:hAnsiTheme="minorHAnsi"/>
        <w:b/>
        <w:sz w:val="18"/>
      </w:rPr>
      <w:tblPr/>
      <w:tcPr>
        <w:tcBorders>
          <w:bottom w:val="single" w:sz="8" w:space="0" w:color="000000" w:themeColor="text1"/>
        </w:tcBorders>
        <w:shd w:val="clear" w:color="auto" w:fill="CCCCCC" w:themeFill="text1" w:themeFillTint="33"/>
      </w:tcPr>
    </w:tblStylePr>
  </w:style>
  <w:style w:type="table" w:customStyle="1" w:styleId="MPTTableSlate3">
    <w:name w:val="MPT Table Slate 3"/>
    <w:basedOn w:val="MPTTable3"/>
    <w:rsid w:val="00453B0E"/>
    <w:tblPr>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auto"/>
    </w:tcPr>
    <w:tblStylePr w:type="firstRow">
      <w:pPr>
        <w:wordWrap/>
        <w:spacing w:beforeLines="0" w:before="0" w:beforeAutospacing="0" w:afterLines="0" w:after="0" w:afterAutospacing="0" w:line="220" w:lineRule="exact"/>
        <w:jc w:val="left"/>
      </w:pPr>
      <w:rPr>
        <w:rFonts w:asciiTheme="minorHAnsi" w:hAnsiTheme="minorHAnsi"/>
        <w:b/>
        <w:caps/>
        <w:smallCaps w:val="0"/>
        <w:color w:val="FFFFFF" w:themeColor="background1"/>
        <w:sz w:val="18"/>
      </w:rPr>
      <w:tblPr/>
      <w:tcPr>
        <w:tc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nil"/>
          <w:tl2br w:val="nil"/>
          <w:tr2bl w:val="nil"/>
        </w:tcBorders>
        <w:shd w:val="clear" w:color="auto" w:fill="000000" w:themeFill="text1"/>
        <w:vAlign w:val="top"/>
      </w:tcPr>
    </w:tblStylePr>
    <w:tblStylePr w:type="lastRow">
      <w:pPr>
        <w:wordWrap/>
        <w:spacing w:beforeLines="0" w:before="0" w:beforeAutospacing="0" w:afterLines="0" w:after="0" w:afterAutospacing="0" w:line="240" w:lineRule="auto"/>
        <w:jc w:val="left"/>
      </w:pPr>
      <w:rPr>
        <w:rFonts w:asciiTheme="minorHAnsi" w:hAnsiTheme="minorHAnsi"/>
        <w:b/>
        <w:sz w:val="18"/>
      </w:rPr>
      <w:tblPr/>
      <w:tcPr>
        <w:tcBorders>
          <w:bottom w:val="single" w:sz="8" w:space="0" w:color="000000" w:themeColor="text1"/>
        </w:tcBorders>
        <w:shd w:val="clear" w:color="auto" w:fill="CCCCCC" w:themeFill="text1" w:themeFillTint="33"/>
      </w:tcPr>
    </w:tblStylePr>
  </w:style>
  <w:style w:type="table" w:customStyle="1" w:styleId="MPTTableSlate4">
    <w:name w:val="MPT Table Slate 4"/>
    <w:basedOn w:val="MPTTable4"/>
    <w:rsid w:val="00453B0E"/>
    <w:tblPr>
      <w:tblBorders>
        <w:bottom w:val="single" w:sz="4" w:space="0" w:color="000000" w:themeColor="text1"/>
        <w:insideH w:val="none" w:sz="0" w:space="0" w:color="auto"/>
        <w:insideV w:val="none" w:sz="0" w:space="0" w:color="auto"/>
      </w:tblBorders>
    </w:tblPr>
    <w:tcPr>
      <w:shd w:val="clear" w:color="auto" w:fill="auto"/>
    </w:tcPr>
    <w:tblStylePr w:type="firstRow">
      <w:pPr>
        <w:wordWrap/>
        <w:spacing w:beforeLines="0" w:before="0" w:beforeAutospacing="0" w:afterLines="0" w:after="0" w:afterAutospacing="0" w:line="220" w:lineRule="exact"/>
        <w:jc w:val="left"/>
      </w:pPr>
      <w:rPr>
        <w:rFonts w:asciiTheme="minorHAnsi" w:hAnsiTheme="minorHAnsi"/>
        <w:b/>
        <w:caps/>
        <w:smallCaps w:val="0"/>
        <w:color w:val="FFFFFF" w:themeColor="background1"/>
        <w:sz w:val="18"/>
      </w:rPr>
      <w:tblPr/>
      <w:tcPr>
        <w:tcBorders>
          <w:top w:val="nil"/>
          <w:left w:val="nil"/>
          <w:bottom w:val="nil"/>
          <w:right w:val="nil"/>
          <w:insideH w:val="nil"/>
          <w:insideV w:val="nil"/>
          <w:tl2br w:val="nil"/>
          <w:tr2bl w:val="nil"/>
        </w:tcBorders>
        <w:shd w:val="clear" w:color="auto" w:fill="000000" w:themeFill="text1"/>
        <w:vAlign w:val="top"/>
      </w:tcPr>
    </w:tblStylePr>
    <w:tblStylePr w:type="lastRow">
      <w:pPr>
        <w:wordWrap/>
        <w:spacing w:beforeLines="0" w:before="0" w:beforeAutospacing="0" w:afterLines="0" w:after="0" w:afterAutospacing="0" w:line="240" w:lineRule="auto"/>
        <w:jc w:val="left"/>
      </w:pPr>
      <w:rPr>
        <w:rFonts w:asciiTheme="minorHAnsi" w:hAnsiTheme="minorHAnsi"/>
        <w:b/>
        <w:sz w:val="18"/>
      </w:rPr>
      <w:tblPr/>
      <w:tcPr>
        <w:tcBorders>
          <w:top w:val="nil"/>
          <w:left w:val="nil"/>
          <w:bottom w:val="single" w:sz="8" w:space="0" w:color="000000" w:themeColor="text1"/>
          <w:right w:val="nil"/>
          <w:insideH w:val="nil"/>
          <w:insideV w:val="nil"/>
          <w:tl2br w:val="nil"/>
          <w:tr2bl w:val="nil"/>
        </w:tcBorders>
        <w:shd w:val="clear" w:color="auto" w:fill="auto"/>
      </w:tcPr>
    </w:tblStylePr>
    <w:tblStylePr w:type="band1Horz">
      <w:tblPr/>
      <w:tcPr>
        <w:tcBorders>
          <w:top w:val="nil"/>
          <w:left w:val="nil"/>
          <w:bottom w:val="nil"/>
          <w:right w:val="nil"/>
          <w:insideH w:val="nil"/>
          <w:insideV w:val="nil"/>
          <w:tl2br w:val="nil"/>
          <w:tr2bl w:val="nil"/>
        </w:tcBorders>
        <w:shd w:val="clear" w:color="auto" w:fill="CCCCCC" w:themeFill="text1" w:themeFillTint="33"/>
      </w:tcPr>
    </w:tblStylePr>
  </w:style>
  <w:style w:type="table" w:customStyle="1" w:styleId="MPTTableSlate5">
    <w:name w:val="MPT Table Slate 5"/>
    <w:basedOn w:val="MPTTable5"/>
    <w:rsid w:val="00453B0E"/>
    <w:tblPr>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auto"/>
    </w:tcPr>
    <w:tblStylePr w:type="firstRow">
      <w:pPr>
        <w:wordWrap/>
        <w:spacing w:beforeLines="0" w:before="0" w:beforeAutospacing="0" w:afterLines="0" w:after="0" w:afterAutospacing="0" w:line="220" w:lineRule="exact"/>
        <w:jc w:val="left"/>
      </w:pPr>
      <w:rPr>
        <w:rFonts w:asciiTheme="minorHAnsi" w:hAnsiTheme="minorHAnsi"/>
        <w:b/>
        <w:caps/>
        <w:smallCaps w:val="0"/>
        <w:color w:val="FFFFFF" w:themeColor="background1"/>
        <w:sz w:val="18"/>
      </w:rPr>
      <w:tblPr/>
      <w:tcPr>
        <w:tcBorders>
          <w:top w:val="single" w:sz="8" w:space="0" w:color="000000" w:themeColor="text1"/>
          <w:left w:val="single" w:sz="8" w:space="0" w:color="000000" w:themeColor="text1"/>
          <w:bottom w:val="single" w:sz="8" w:space="0" w:color="000000" w:themeColor="text1"/>
          <w:right w:val="single" w:sz="8" w:space="0" w:color="000000" w:themeColor="text1"/>
          <w:insideH w:val="nil"/>
          <w:insideV w:val="nil"/>
          <w:tl2br w:val="nil"/>
          <w:tr2bl w:val="nil"/>
        </w:tcBorders>
        <w:shd w:val="clear" w:color="auto" w:fill="000000" w:themeFill="text1"/>
        <w:vAlign w:val="top"/>
      </w:tcPr>
    </w:tblStylePr>
    <w:tblStylePr w:type="lastRow">
      <w:pPr>
        <w:wordWrap/>
        <w:spacing w:beforeLines="0" w:before="0" w:beforeAutospacing="0" w:afterLines="0" w:after="0" w:afterAutospacing="0" w:line="240" w:lineRule="auto"/>
        <w:jc w:val="left"/>
      </w:pPr>
      <w:rPr>
        <w:rFonts w:asciiTheme="minorHAnsi" w:hAnsiTheme="minorHAnsi"/>
        <w:b/>
        <w:sz w:val="18"/>
      </w:rPr>
      <w:tblPr/>
      <w:tcPr>
        <w:tc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l2br w:val="nil"/>
          <w:tr2bl w:val="nil"/>
        </w:tcBorders>
        <w:shd w:val="clear" w:color="auto" w:fill="auto"/>
      </w:tcPr>
    </w:tblStylePr>
    <w:tblStylePr w:type="firstCol">
      <w:tblPr/>
      <w:tcPr>
        <w:tc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l2br w:val="nil"/>
          <w:tr2bl w:val="nil"/>
        </w:tcBorders>
        <w:shd w:val="clear" w:color="auto" w:fill="CCCCCC" w:themeFill="text1" w:themeFillTint="33"/>
      </w:tcPr>
    </w:tblStylePr>
    <w:tblStylePr w:type="lastCol">
      <w:tblPr/>
      <w:tcPr>
        <w:tc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l2br w:val="nil"/>
          <w:tr2bl w:val="nil"/>
        </w:tcBorders>
        <w:shd w:val="clear" w:color="auto" w:fill="auto"/>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l2br w:val="nil"/>
          <w:tr2bl w:val="nil"/>
        </w:tcBorders>
        <w:shd w:val="clear" w:color="auto" w:fill="auto"/>
      </w:tcPr>
    </w:tblStylePr>
    <w:tblStylePr w:type="band2Vert">
      <w:tblPr/>
      <w:tcPr>
        <w:tc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l2br w:val="nil"/>
          <w:tr2bl w:val="nil"/>
        </w:tcBorders>
        <w:shd w:val="clear" w:color="auto" w:fill="auto"/>
      </w:tcPr>
    </w:tblStylePr>
    <w:tblStylePr w:type="band1Horz">
      <w:tblPr/>
      <w:tcPr>
        <w:tcBorders>
          <w:top w:val="nil"/>
          <w:left w:val="nil"/>
          <w:bottom w:val="single" w:sz="8" w:space="0" w:color="000000" w:themeColor="text1"/>
          <w:right w:val="nil"/>
          <w:insideH w:val="nil"/>
          <w:insideV w:val="nil"/>
          <w:tl2br w:val="nil"/>
          <w:tr2bl w:val="nil"/>
        </w:tcBorders>
        <w:shd w:val="clear" w:color="auto" w:fill="auto"/>
      </w:tcPr>
    </w:tblStylePr>
    <w:tblStylePr w:type="band2Horz">
      <w:tblPr/>
      <w:tcPr>
        <w:tcBorders>
          <w:top w:val="nil"/>
          <w:left w:val="nil"/>
          <w:bottom w:val="single" w:sz="8" w:space="0" w:color="000000" w:themeColor="text1"/>
          <w:right w:val="nil"/>
          <w:insideH w:val="nil"/>
          <w:insideV w:val="nil"/>
          <w:tl2br w:val="nil"/>
          <w:tr2bl w:val="nil"/>
        </w:tcBorders>
        <w:shd w:val="clear" w:color="auto" w:fill="auto"/>
      </w:tcPr>
    </w:tblStylePr>
  </w:style>
  <w:style w:type="paragraph" w:customStyle="1" w:styleId="DefSubSubAshurst">
    <w:name w:val="DefSubSubAshurst"/>
    <w:basedOn w:val="NormalAshurst"/>
    <w:uiPriority w:val="26"/>
    <w:rsid w:val="00AB24AD"/>
    <w:pPr>
      <w:numPr>
        <w:ilvl w:val="3"/>
        <w:numId w:val="30"/>
      </w:numPr>
    </w:pPr>
  </w:style>
  <w:style w:type="paragraph" w:customStyle="1" w:styleId="NormalOCAshurst">
    <w:name w:val="NormalOCAshurst"/>
    <w:link w:val="NormalOCAshurstChar"/>
    <w:qFormat/>
    <w:rsid w:val="006A0136"/>
    <w:pPr>
      <w:suppressAutoHyphens/>
      <w:spacing w:after="200"/>
      <w:jc w:val="both"/>
    </w:pPr>
    <w:rPr>
      <w:rFonts w:ascii="Times New Roman" w:eastAsia="Times New Roman" w:hAnsi="Times New Roman" w:cs="Times New Roman"/>
      <w:sz w:val="20"/>
      <w:szCs w:val="20"/>
      <w:lang w:eastAsia="en-GB"/>
    </w:rPr>
  </w:style>
  <w:style w:type="character" w:customStyle="1" w:styleId="NormalOCAshurstChar">
    <w:name w:val="NormalOCAshurst Char"/>
    <w:link w:val="NormalOCAshurst"/>
    <w:rsid w:val="006A0136"/>
    <w:rPr>
      <w:rFonts w:ascii="Times New Roman" w:eastAsia="Times New Roman" w:hAnsi="Times New Roman" w:cs="Times New Roman"/>
      <w:sz w:val="20"/>
      <w:szCs w:val="20"/>
      <w:lang w:eastAsia="en-GB"/>
    </w:rPr>
  </w:style>
  <w:style w:type="paragraph" w:customStyle="1" w:styleId="StandardOCAshurst">
    <w:name w:val="StandardOCAshurst"/>
    <w:basedOn w:val="NormalOCAshurst"/>
    <w:link w:val="StandardOCAshurstChar"/>
    <w:qFormat/>
    <w:rsid w:val="006A0136"/>
    <w:pPr>
      <w:spacing w:after="0"/>
    </w:pPr>
  </w:style>
  <w:style w:type="character" w:customStyle="1" w:styleId="StandardOCAshurstChar">
    <w:name w:val="StandardOCAshurst Char"/>
    <w:basedOn w:val="NormalOCAshurstChar"/>
    <w:link w:val="StandardOCAshurst"/>
    <w:rsid w:val="006A0136"/>
    <w:rPr>
      <w:rFonts w:ascii="Times New Roman" w:eastAsia="Times New Roman" w:hAnsi="Times New Roman" w:cs="Times New Roman"/>
      <w:sz w:val="20"/>
      <w:szCs w:val="20"/>
      <w:lang w:eastAsia="en-GB"/>
    </w:rPr>
  </w:style>
  <w:style w:type="paragraph" w:customStyle="1" w:styleId="AltH5OCAshurst">
    <w:name w:val="AltH5OCAshurst"/>
    <w:basedOn w:val="NormalOCAshurst"/>
    <w:uiPriority w:val="40"/>
    <w:rsid w:val="006A0136"/>
    <w:pPr>
      <w:numPr>
        <w:ilvl w:val="4"/>
        <w:numId w:val="35"/>
      </w:numPr>
      <w:tabs>
        <w:tab w:val="clear" w:pos="1843"/>
        <w:tab w:val="num" w:pos="2653"/>
        <w:tab w:val="num" w:pos="3600"/>
      </w:tabs>
      <w:ind w:left="2653" w:hanging="623"/>
      <w:outlineLvl w:val="4"/>
    </w:pPr>
    <w:rPr>
      <w:rFonts w:eastAsia="Microsoft JhengHei"/>
    </w:rPr>
  </w:style>
  <w:style w:type="paragraph" w:customStyle="1" w:styleId="AltH1OCAshurst">
    <w:name w:val="AltH1OCAshurst"/>
    <w:basedOn w:val="NormalOCAshurst"/>
    <w:uiPriority w:val="40"/>
    <w:rsid w:val="006A0136"/>
    <w:pPr>
      <w:numPr>
        <w:numId w:val="35"/>
      </w:numPr>
      <w:tabs>
        <w:tab w:val="clear" w:pos="709"/>
        <w:tab w:val="num" w:pos="782"/>
        <w:tab w:val="num" w:pos="3277"/>
      </w:tabs>
      <w:ind w:left="782" w:hanging="782"/>
      <w:outlineLvl w:val="0"/>
    </w:pPr>
    <w:rPr>
      <w:rFonts w:eastAsia="Microsoft JhengHei"/>
    </w:rPr>
  </w:style>
  <w:style w:type="paragraph" w:customStyle="1" w:styleId="AltH2OCAshurst">
    <w:name w:val="AltH2OCAshurst"/>
    <w:basedOn w:val="NormalOCAshurst"/>
    <w:uiPriority w:val="40"/>
    <w:rsid w:val="006A0136"/>
    <w:pPr>
      <w:numPr>
        <w:ilvl w:val="1"/>
        <w:numId w:val="35"/>
      </w:numPr>
      <w:tabs>
        <w:tab w:val="clear" w:pos="709"/>
        <w:tab w:val="num" w:pos="782"/>
        <w:tab w:val="num" w:pos="1440"/>
      </w:tabs>
      <w:ind w:left="782" w:hanging="782"/>
      <w:outlineLvl w:val="1"/>
    </w:pPr>
    <w:rPr>
      <w:rFonts w:eastAsia="Microsoft JhengHei"/>
    </w:rPr>
  </w:style>
  <w:style w:type="paragraph" w:customStyle="1" w:styleId="AltH3OCAshurst">
    <w:name w:val="AltH3OCAshurst"/>
    <w:basedOn w:val="NormalOCAshurst"/>
    <w:uiPriority w:val="40"/>
    <w:rsid w:val="006A0136"/>
    <w:pPr>
      <w:numPr>
        <w:ilvl w:val="2"/>
        <w:numId w:val="35"/>
      </w:numPr>
      <w:tabs>
        <w:tab w:val="clear" w:pos="709"/>
        <w:tab w:val="num" w:pos="1406"/>
        <w:tab w:val="num" w:pos="2160"/>
      </w:tabs>
      <w:ind w:left="1406" w:hanging="624"/>
      <w:outlineLvl w:val="2"/>
    </w:pPr>
    <w:rPr>
      <w:rFonts w:eastAsia="Microsoft JhengHei"/>
    </w:rPr>
  </w:style>
  <w:style w:type="paragraph" w:customStyle="1" w:styleId="AltH4OCAshurst">
    <w:name w:val="AltH4OCAshurst"/>
    <w:basedOn w:val="NormalOCAshurst"/>
    <w:uiPriority w:val="40"/>
    <w:rsid w:val="006A0136"/>
    <w:pPr>
      <w:numPr>
        <w:ilvl w:val="3"/>
        <w:numId w:val="35"/>
      </w:numPr>
      <w:tabs>
        <w:tab w:val="clear" w:pos="1276"/>
        <w:tab w:val="num" w:pos="2030"/>
        <w:tab w:val="num" w:pos="2880"/>
      </w:tabs>
      <w:ind w:left="2030" w:hanging="624"/>
      <w:outlineLvl w:val="3"/>
    </w:pPr>
    <w:rPr>
      <w:rFonts w:eastAsia="Microsoft JhengHei"/>
    </w:rPr>
  </w:style>
  <w:style w:type="paragraph" w:customStyle="1" w:styleId="AltH6OCAshurst">
    <w:name w:val="AltH6OCAshurst"/>
    <w:basedOn w:val="NormalOCAshurst"/>
    <w:uiPriority w:val="40"/>
    <w:rsid w:val="006A0136"/>
    <w:pPr>
      <w:numPr>
        <w:ilvl w:val="5"/>
        <w:numId w:val="35"/>
      </w:numPr>
      <w:tabs>
        <w:tab w:val="clear" w:pos="2410"/>
        <w:tab w:val="num" w:pos="3277"/>
        <w:tab w:val="num" w:pos="4320"/>
      </w:tabs>
      <w:ind w:left="3277" w:hanging="624"/>
      <w:outlineLvl w:val="5"/>
    </w:pPr>
    <w:rPr>
      <w:rFonts w:eastAsia="Microsoft JhengHei"/>
    </w:rPr>
  </w:style>
  <w:style w:type="paragraph" w:customStyle="1" w:styleId="AltH7OCAshurst">
    <w:name w:val="AltH7OCAshurst"/>
    <w:basedOn w:val="NormalOCAshurst"/>
    <w:rsid w:val="006A0136"/>
    <w:pPr>
      <w:numPr>
        <w:ilvl w:val="6"/>
        <w:numId w:val="35"/>
      </w:numPr>
      <w:tabs>
        <w:tab w:val="clear" w:pos="2977"/>
        <w:tab w:val="num" w:pos="0"/>
        <w:tab w:val="num" w:pos="5040"/>
      </w:tabs>
      <w:ind w:left="0" w:firstLine="0"/>
      <w:outlineLvl w:val="6"/>
    </w:pPr>
    <w:rPr>
      <w:rFonts w:eastAsia="Microsoft JhengHei"/>
    </w:rPr>
  </w:style>
  <w:style w:type="paragraph" w:customStyle="1" w:styleId="AltH8OCAshurst">
    <w:name w:val="AltH8OCAshurst"/>
    <w:basedOn w:val="NormalOCAshurst"/>
    <w:uiPriority w:val="40"/>
    <w:rsid w:val="006A0136"/>
    <w:pPr>
      <w:numPr>
        <w:ilvl w:val="7"/>
        <w:numId w:val="35"/>
      </w:numPr>
      <w:tabs>
        <w:tab w:val="clear" w:pos="3544"/>
        <w:tab w:val="num" w:pos="0"/>
        <w:tab w:val="num" w:pos="5760"/>
      </w:tabs>
      <w:ind w:left="0" w:firstLine="0"/>
      <w:outlineLvl w:val="7"/>
    </w:pPr>
    <w:rPr>
      <w:rFonts w:eastAsia="Microsoft JhengHei"/>
    </w:rPr>
  </w:style>
  <w:style w:type="paragraph" w:customStyle="1" w:styleId="DefSubOCAshurst">
    <w:name w:val="DefSubOCAshurst"/>
    <w:basedOn w:val="NormalOCAshurst"/>
    <w:uiPriority w:val="79"/>
    <w:rsid w:val="00606F84"/>
    <w:pPr>
      <w:numPr>
        <w:ilvl w:val="1"/>
        <w:numId w:val="36"/>
      </w:numPr>
      <w:tabs>
        <w:tab w:val="clear" w:pos="709"/>
        <w:tab w:val="num" w:pos="360"/>
        <w:tab w:val="num" w:pos="782"/>
      </w:tabs>
      <w:ind w:left="0" w:firstLine="0"/>
      <w:outlineLvl w:val="0"/>
    </w:pPr>
    <w:rPr>
      <w:rFonts w:eastAsia="Microsoft JhengHei"/>
    </w:rPr>
  </w:style>
  <w:style w:type="paragraph" w:customStyle="1" w:styleId="DefSubSubOCAshurst">
    <w:name w:val="DefSubSubOCAshurst"/>
    <w:basedOn w:val="NormalOCAshurst"/>
    <w:uiPriority w:val="79"/>
    <w:rsid w:val="00606F84"/>
    <w:pPr>
      <w:numPr>
        <w:ilvl w:val="2"/>
        <w:numId w:val="36"/>
      </w:numPr>
      <w:tabs>
        <w:tab w:val="clear" w:pos="1276"/>
        <w:tab w:val="num" w:pos="1406"/>
      </w:tabs>
      <w:ind w:left="1406" w:hanging="624"/>
      <w:outlineLvl w:val="1"/>
    </w:pPr>
    <w:rPr>
      <w:rFonts w:eastAsia="Microsoft JhengHei"/>
    </w:rPr>
  </w:style>
  <w:style w:type="paragraph" w:customStyle="1" w:styleId="DefClauseOCAshurst">
    <w:name w:val="DefClauseOCAshurst"/>
    <w:basedOn w:val="NormalOCAshurst"/>
    <w:next w:val="DefSubOCAshurst"/>
    <w:uiPriority w:val="98"/>
    <w:rsid w:val="00606F84"/>
    <w:pPr>
      <w:numPr>
        <w:numId w:val="36"/>
      </w:numPr>
      <w:tabs>
        <w:tab w:val="num" w:pos="782"/>
      </w:tabs>
      <w:ind w:left="782" w:hanging="782"/>
    </w:pPr>
    <w:rPr>
      <w:rFonts w:eastAsia="Microsoft JhengHei"/>
    </w:rPr>
  </w:style>
  <w:style w:type="paragraph" w:customStyle="1" w:styleId="Style1">
    <w:name w:val="Style1"/>
    <w:basedOn w:val="H3Ashurst"/>
    <w:link w:val="Style1Char"/>
    <w:qFormat/>
    <w:rsid w:val="00953D93"/>
    <w:pPr>
      <w:numPr>
        <w:ilvl w:val="0"/>
        <w:numId w:val="0"/>
      </w:numPr>
      <w:ind w:left="782"/>
    </w:pPr>
  </w:style>
  <w:style w:type="character" w:customStyle="1" w:styleId="H3AshurstChar">
    <w:name w:val="H3Ashurst Char"/>
    <w:basedOn w:val="NormalAshurstChar"/>
    <w:link w:val="H3Ashurst"/>
    <w:uiPriority w:val="1"/>
    <w:rsid w:val="00953D93"/>
  </w:style>
  <w:style w:type="character" w:customStyle="1" w:styleId="Style1Char">
    <w:name w:val="Style1 Char"/>
    <w:basedOn w:val="H3AshurstChar"/>
    <w:link w:val="Style1"/>
    <w:rsid w:val="00953D93"/>
  </w:style>
  <w:style w:type="paragraph" w:styleId="Revision">
    <w:name w:val="Revision"/>
    <w:hidden/>
    <w:semiHidden/>
    <w:rsid w:val="00F13F6A"/>
    <w:rPr>
      <w:rFonts w:ascii="Verdana" w:eastAsia="Times New Roman" w:hAnsi="Verdana" w:cs="Times New Roman"/>
      <w:szCs w:val="18"/>
      <w:lang w:eastAsia="en-GB"/>
    </w:rPr>
  </w:style>
  <w:style w:type="table" w:customStyle="1" w:styleId="TableGrid10">
    <w:name w:val="Table Grid1"/>
    <w:basedOn w:val="TableNormal"/>
    <w:next w:val="TableGrid"/>
    <w:uiPriority w:val="98"/>
    <w:rsid w:val="00ED4B71"/>
    <w:pPr>
      <w:spacing w:before="100" w:after="100"/>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1OCAshurst">
    <w:name w:val="Body1OCAshurst"/>
    <w:basedOn w:val="Normal"/>
    <w:uiPriority w:val="2"/>
    <w:qFormat/>
    <w:rsid w:val="005E3176"/>
    <w:pPr>
      <w:spacing w:after="200" w:line="240" w:lineRule="auto"/>
      <w:ind w:left="709"/>
    </w:pPr>
    <w:rPr>
      <w:rFonts w:eastAsiaTheme="minorEastAsia" w:cs="Calibri"/>
      <w:sz w:val="20"/>
      <w:szCs w:val="20"/>
      <w:lang w:eastAsia="zh-CN"/>
    </w:rPr>
  </w:style>
  <w:style w:type="paragraph" w:customStyle="1" w:styleId="Times">
    <w:name w:val="Times"/>
    <w:basedOn w:val="Normal"/>
    <w:rsid w:val="003F1726"/>
    <w:pPr>
      <w:tabs>
        <w:tab w:val="left" w:pos="709"/>
        <w:tab w:val="left" w:pos="1276"/>
        <w:tab w:val="left" w:pos="1843"/>
        <w:tab w:val="left" w:pos="2409"/>
        <w:tab w:val="left" w:pos="2976"/>
        <w:tab w:val="left" w:pos="3543"/>
        <w:tab w:val="left" w:pos="4110"/>
      </w:tabs>
      <w:suppressAutoHyphens/>
      <w:spacing w:after="200" w:line="240" w:lineRule="auto"/>
      <w:ind w:left="629"/>
    </w:pPr>
    <w:rPr>
      <w:rFonts w:ascii="Times New Roman" w:hAnsi="Times New Roman"/>
      <w:b/>
      <w:bCs/>
      <w:sz w:val="20"/>
      <w:szCs w:val="20"/>
    </w:rPr>
  </w:style>
  <w:style w:type="paragraph" w:customStyle="1" w:styleId="TableNum1OCAshurst">
    <w:name w:val="TableNum1OCAshurst"/>
    <w:basedOn w:val="NormalOCAshurst"/>
    <w:uiPriority w:val="79"/>
    <w:rsid w:val="00F25F8F"/>
    <w:pPr>
      <w:numPr>
        <w:numId w:val="37"/>
      </w:numPr>
      <w:outlineLvl w:val="0"/>
    </w:pPr>
    <w:rPr>
      <w:rFonts w:asciiTheme="minorHAnsi" w:eastAsiaTheme="minorEastAsia" w:hAnsiTheme="minorHAnsi"/>
      <w:lang w:eastAsia="ja-JP"/>
    </w:rPr>
  </w:style>
  <w:style w:type="paragraph" w:customStyle="1" w:styleId="TableNum2OCAshurst">
    <w:name w:val="TableNum2OCAshurst"/>
    <w:basedOn w:val="NormalOCAshurst"/>
    <w:uiPriority w:val="79"/>
    <w:rsid w:val="00F25F8F"/>
    <w:pPr>
      <w:numPr>
        <w:ilvl w:val="1"/>
        <w:numId w:val="37"/>
      </w:numPr>
      <w:outlineLvl w:val="1"/>
    </w:pPr>
    <w:rPr>
      <w:rFonts w:asciiTheme="minorHAnsi" w:eastAsiaTheme="minorEastAsia" w:hAnsiTheme="minorHAnsi"/>
      <w:lang w:eastAsia="ja-JP"/>
    </w:rPr>
  </w:style>
  <w:style w:type="paragraph" w:customStyle="1" w:styleId="TableNum3OCAshurst">
    <w:name w:val="TableNum3OCAshurst"/>
    <w:basedOn w:val="NormalOCAshurst"/>
    <w:uiPriority w:val="79"/>
    <w:rsid w:val="00F25F8F"/>
    <w:pPr>
      <w:numPr>
        <w:ilvl w:val="2"/>
        <w:numId w:val="37"/>
      </w:numPr>
    </w:pPr>
    <w:rPr>
      <w:rFonts w:asciiTheme="minorHAnsi" w:eastAsiaTheme="minorEastAsia" w:hAnsiTheme="minorHAnsi"/>
      <w:lang w:eastAsia="ja-JP"/>
    </w:rPr>
  </w:style>
  <w:style w:type="paragraph" w:customStyle="1" w:styleId="TableNum4OCAshurst">
    <w:name w:val="TableNum4OCAshurst"/>
    <w:basedOn w:val="NormalOCAshurst"/>
    <w:uiPriority w:val="79"/>
    <w:rsid w:val="00F25F8F"/>
    <w:pPr>
      <w:numPr>
        <w:ilvl w:val="3"/>
        <w:numId w:val="37"/>
      </w:numPr>
    </w:pPr>
    <w:rPr>
      <w:rFonts w:asciiTheme="minorHAnsi" w:eastAsiaTheme="minorEastAsia" w:hAnsiTheme="minorHAnsi"/>
      <w:lang w:eastAsia="ja-JP"/>
    </w:rPr>
  </w:style>
  <w:style w:type="paragraph" w:customStyle="1" w:styleId="TableNum5OCAshurst">
    <w:name w:val="TableNum5OCAshurst"/>
    <w:basedOn w:val="NormalOCAshurst"/>
    <w:uiPriority w:val="79"/>
    <w:rsid w:val="00F25F8F"/>
    <w:pPr>
      <w:numPr>
        <w:ilvl w:val="4"/>
        <w:numId w:val="37"/>
      </w:numPr>
    </w:pPr>
    <w:rPr>
      <w:rFonts w:asciiTheme="minorHAnsi" w:eastAsiaTheme="minorEastAsia" w:hAnsiTheme="minorHAnsi"/>
      <w:lang w:eastAsia="ja-JP"/>
    </w:rPr>
  </w:style>
  <w:style w:type="paragraph" w:customStyle="1" w:styleId="TableNum6OCAshurst">
    <w:name w:val="TableNum6OCAshurst"/>
    <w:basedOn w:val="NormalOCAshurst"/>
    <w:uiPriority w:val="79"/>
    <w:rsid w:val="00F25F8F"/>
    <w:pPr>
      <w:numPr>
        <w:ilvl w:val="5"/>
        <w:numId w:val="37"/>
      </w:numPr>
    </w:pPr>
    <w:rPr>
      <w:rFonts w:asciiTheme="minorHAnsi" w:eastAsiaTheme="minorEastAsia" w:hAnsiTheme="minorHAnsi"/>
      <w:lang w:eastAsia="ja-JP"/>
    </w:rPr>
  </w:style>
  <w:style w:type="paragraph" w:customStyle="1" w:styleId="BulletOCAshurst">
    <w:name w:val="BulletOCAshurst"/>
    <w:basedOn w:val="NormalOCAshurst"/>
    <w:uiPriority w:val="79"/>
    <w:rsid w:val="00CA64A0"/>
    <w:pPr>
      <w:numPr>
        <w:numId w:val="38"/>
      </w:numPr>
    </w:pPr>
    <w:rPr>
      <w:rFonts w:asciiTheme="minorHAnsi" w:eastAsiaTheme="minorEastAsia" w:hAnsiTheme="minorHAnsi"/>
    </w:rPr>
  </w:style>
  <w:style w:type="paragraph" w:customStyle="1" w:styleId="H1OCAshurst">
    <w:name w:val="H1OCAshurst"/>
    <w:basedOn w:val="NormalOCAshurst"/>
    <w:uiPriority w:val="1"/>
    <w:qFormat/>
    <w:rsid w:val="00A16450"/>
    <w:pPr>
      <w:numPr>
        <w:numId w:val="39"/>
      </w:numPr>
      <w:outlineLvl w:val="0"/>
    </w:pPr>
    <w:rPr>
      <w:rFonts w:asciiTheme="minorHAnsi" w:eastAsiaTheme="minorEastAsia" w:hAnsiTheme="minorHAnsi"/>
      <w:b/>
    </w:rPr>
  </w:style>
  <w:style w:type="paragraph" w:customStyle="1" w:styleId="H2OCAshurst">
    <w:name w:val="H2OCAshurst"/>
    <w:basedOn w:val="NormalOCAshurst"/>
    <w:uiPriority w:val="1"/>
    <w:qFormat/>
    <w:rsid w:val="00A16450"/>
    <w:pPr>
      <w:numPr>
        <w:ilvl w:val="1"/>
        <w:numId w:val="39"/>
      </w:numPr>
      <w:outlineLvl w:val="1"/>
    </w:pPr>
    <w:rPr>
      <w:rFonts w:asciiTheme="minorHAnsi" w:eastAsiaTheme="minorEastAsia" w:hAnsiTheme="minorHAnsi"/>
      <w:b/>
    </w:rPr>
  </w:style>
  <w:style w:type="paragraph" w:customStyle="1" w:styleId="H3OCAshurst">
    <w:name w:val="H3OCAshurst"/>
    <w:basedOn w:val="NormalOCAshurst"/>
    <w:uiPriority w:val="1"/>
    <w:qFormat/>
    <w:rsid w:val="00A16450"/>
    <w:pPr>
      <w:numPr>
        <w:ilvl w:val="2"/>
        <w:numId w:val="39"/>
      </w:numPr>
      <w:outlineLvl w:val="2"/>
    </w:pPr>
    <w:rPr>
      <w:rFonts w:asciiTheme="minorHAnsi" w:eastAsiaTheme="minorEastAsia" w:hAnsiTheme="minorHAnsi"/>
    </w:rPr>
  </w:style>
  <w:style w:type="paragraph" w:customStyle="1" w:styleId="H4OCAshurst">
    <w:name w:val="H4OCAshurst"/>
    <w:basedOn w:val="NormalOCAshurst"/>
    <w:uiPriority w:val="1"/>
    <w:qFormat/>
    <w:rsid w:val="00A16450"/>
    <w:pPr>
      <w:numPr>
        <w:ilvl w:val="3"/>
        <w:numId w:val="39"/>
      </w:numPr>
      <w:outlineLvl w:val="3"/>
    </w:pPr>
    <w:rPr>
      <w:rFonts w:asciiTheme="minorHAnsi" w:eastAsiaTheme="minorEastAsia" w:hAnsiTheme="minorHAnsi"/>
    </w:rPr>
  </w:style>
  <w:style w:type="paragraph" w:customStyle="1" w:styleId="H5OCAshurst">
    <w:name w:val="H5OCAshurst"/>
    <w:basedOn w:val="NormalOCAshurst"/>
    <w:uiPriority w:val="1"/>
    <w:qFormat/>
    <w:rsid w:val="00A16450"/>
    <w:pPr>
      <w:numPr>
        <w:ilvl w:val="4"/>
        <w:numId w:val="39"/>
      </w:numPr>
      <w:outlineLvl w:val="4"/>
    </w:pPr>
    <w:rPr>
      <w:rFonts w:asciiTheme="minorHAnsi" w:eastAsiaTheme="minorEastAsia" w:hAnsiTheme="minorHAnsi"/>
    </w:rPr>
  </w:style>
  <w:style w:type="paragraph" w:customStyle="1" w:styleId="H6OCAshurst">
    <w:name w:val="H6OCAshurst"/>
    <w:basedOn w:val="NormalOCAshurst"/>
    <w:uiPriority w:val="38"/>
    <w:rsid w:val="00A16450"/>
    <w:pPr>
      <w:numPr>
        <w:ilvl w:val="5"/>
        <w:numId w:val="39"/>
      </w:numPr>
      <w:outlineLvl w:val="5"/>
    </w:pPr>
    <w:rPr>
      <w:rFonts w:asciiTheme="minorHAnsi" w:eastAsiaTheme="minorEastAsia" w:hAnsiTheme="minorHAnsi"/>
    </w:rPr>
  </w:style>
  <w:style w:type="paragraph" w:customStyle="1" w:styleId="H7OCAshurst">
    <w:name w:val="H7OCAshurst"/>
    <w:basedOn w:val="NormalOCAshurst"/>
    <w:uiPriority w:val="38"/>
    <w:rsid w:val="00A16450"/>
    <w:pPr>
      <w:numPr>
        <w:ilvl w:val="6"/>
        <w:numId w:val="39"/>
      </w:numPr>
      <w:outlineLvl w:val="6"/>
    </w:pPr>
    <w:rPr>
      <w:rFonts w:asciiTheme="minorHAnsi" w:eastAsiaTheme="minorEastAsia" w:hAnsiTheme="minorHAnsi"/>
    </w:rPr>
  </w:style>
  <w:style w:type="paragraph" w:customStyle="1" w:styleId="H8OCAshurst">
    <w:name w:val="H8OCAshurst"/>
    <w:basedOn w:val="NormalOCAshurst"/>
    <w:uiPriority w:val="38"/>
    <w:rsid w:val="00A16450"/>
    <w:pPr>
      <w:numPr>
        <w:ilvl w:val="7"/>
        <w:numId w:val="39"/>
      </w:numPr>
      <w:outlineLvl w:val="7"/>
    </w:pPr>
    <w:rPr>
      <w:rFonts w:asciiTheme="minorHAnsi" w:eastAsiaTheme="minorEastAsia" w:hAnsiTheme="minorHAnsi"/>
    </w:rPr>
  </w:style>
  <w:style w:type="paragraph" w:customStyle="1" w:styleId="Body2OCAshurst">
    <w:name w:val="Body2OCAshurst"/>
    <w:basedOn w:val="NormalOCAshurst"/>
    <w:uiPriority w:val="2"/>
    <w:qFormat/>
    <w:rsid w:val="0092787D"/>
    <w:pPr>
      <w:tabs>
        <w:tab w:val="left" w:pos="709"/>
        <w:tab w:val="left" w:pos="1276"/>
        <w:tab w:val="left" w:pos="1843"/>
        <w:tab w:val="left" w:pos="2409"/>
        <w:tab w:val="left" w:pos="2976"/>
        <w:tab w:val="left" w:pos="3543"/>
        <w:tab w:val="left" w:pos="4110"/>
      </w:tabs>
      <w:ind w:left="709"/>
    </w:pPr>
    <w:rPr>
      <w:rFonts w:asciiTheme="minorHAnsi" w:eastAsiaTheme="minorEastAsia" w:hAnsiTheme="minorHAnsi"/>
    </w:rPr>
  </w:style>
  <w:style w:type="paragraph" w:customStyle="1" w:styleId="MainHeadingOCAshurst">
    <w:name w:val="MainHeadingOCAshurst"/>
    <w:basedOn w:val="NormalOCAshurst"/>
    <w:next w:val="NormalOCAshurst"/>
    <w:uiPriority w:val="26"/>
    <w:rsid w:val="00B110CF"/>
    <w:pPr>
      <w:keepNext/>
      <w:jc w:val="center"/>
    </w:pPr>
    <w:rPr>
      <w:rFonts w:asciiTheme="minorHAnsi" w:eastAsiaTheme="minorEastAsia" w:hAnsiTheme="minorHAnsi"/>
      <w:b/>
      <w:cap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0130963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oter" Target="footer5.xm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image" Target="media/image1.png"/><Relationship Id="rId12" Type="http://schemas.openxmlformats.org/officeDocument/2006/relationships/header" Target="header3.xml"/><Relationship Id="rId17" Type="http://schemas.openxmlformats.org/officeDocument/2006/relationships/footer" Target="footer4.xml"/><Relationship Id="rId2" Type="http://schemas.openxmlformats.org/officeDocument/2006/relationships/styles" Target="styles.xml"/><Relationship Id="rId16" Type="http://schemas.openxmlformats.org/officeDocument/2006/relationships/header" Target="header5.xml"/><Relationship Id="rId20" Type="http://schemas.openxmlformats.org/officeDocument/2006/relationships/footer" Target="footer6.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header" Target="header4.xml"/><Relationship Id="rId10" Type="http://schemas.openxmlformats.org/officeDocument/2006/relationships/footer" Target="footer1.xml"/><Relationship Id="rId19" Type="http://schemas.openxmlformats.org/officeDocument/2006/relationships/header" Target="header6.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hyperlink" Target="https://www.jpmorganchase.com/about/governance/esg"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Data\Office%20Templates\ashWordDoc.dotx" TargetMode="External"/></Relationships>
</file>

<file path=word/theme/theme1.xml><?xml version="1.0" encoding="utf-8"?>
<a:theme xmlns:a="http://schemas.openxmlformats.org/drawingml/2006/main" name="Office Theme">
  <a:themeElements>
    <a:clrScheme name="Ashurst Documents">
      <a:dk1>
        <a:sysClr val="windowText" lastClr="000000"/>
      </a:dk1>
      <a:lt1>
        <a:sysClr val="window" lastClr="FFFFFF"/>
      </a:lt1>
      <a:dk2>
        <a:srgbClr val="000000"/>
      </a:dk2>
      <a:lt2>
        <a:srgbClr val="F8F8F8"/>
      </a:lt2>
      <a:accent1>
        <a:srgbClr val="DDDDDD"/>
      </a:accent1>
      <a:accent2>
        <a:srgbClr val="B2B2B2"/>
      </a:accent2>
      <a:accent3>
        <a:srgbClr val="969696"/>
      </a:accent3>
      <a:accent4>
        <a:srgbClr val="808080"/>
      </a:accent4>
      <a:accent5>
        <a:srgbClr val="5F5F5F"/>
      </a:accent5>
      <a:accent6>
        <a:srgbClr val="4D4D4D"/>
      </a:accent6>
      <a:hlink>
        <a:srgbClr val="0000FF"/>
      </a:hlink>
      <a:folHlink>
        <a:srgbClr val="919191"/>
      </a:folHlink>
    </a:clrScheme>
    <a:fontScheme name="_Ashurst">
      <a:majorFont>
        <a:latin typeface="Verdana"/>
        <a:ea typeface=""/>
        <a:cs typeface="Noto Naskh Arabic"/>
        <a:font script="Jpan" typeface="MS Mincho"/>
        <a:font script="Hang" typeface="Batang"/>
        <a:font script="Hans" typeface="STXihei"/>
        <a:font script="Hant" typeface="Microsoft Jhenghei"/>
        <a:font script="Arab" typeface="Noto Naskh Arabic"/>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font script="Geor" typeface="Sylfaen"/>
      </a:majorFont>
      <a:minorFont>
        <a:latin typeface="Verdana"/>
        <a:ea typeface=""/>
        <a:cs typeface="Noto Naskh Arabic"/>
        <a:font script="Jpan" typeface="MS Mincho"/>
        <a:font script="Hang" typeface="Batang"/>
        <a:font script="Hans" typeface="STXihei"/>
        <a:font script="Hant" typeface="Microsoft Jhenghei"/>
        <a:font script="Arab" typeface="Noto Naskh Arabic"/>
        <a:font script="Hebr" typeface="Tahoma"/>
        <a:font script="Thai" typeface="Freesia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Verdana"/>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40000"/>
                <a:satMod val="155000"/>
              </a:schemeClr>
            </a:gs>
            <a:gs pos="65000">
              <a:schemeClr val="phClr">
                <a:shade val="85000"/>
                <a:satMod val="155000"/>
              </a:schemeClr>
            </a:gs>
            <a:gs pos="100000">
              <a:schemeClr val="phClr">
                <a:shade val="95000"/>
                <a:satMod val="155000"/>
              </a:schemeClr>
            </a:gs>
          </a:gsLst>
          <a:lin ang="16200000" scaled="0"/>
        </a:gradFill>
      </a:fillStyleLst>
      <a:lnStyleLst>
        <a:ln w="6350" cap="rnd" cmpd="sng" algn="ctr">
          <a:solidFill>
            <a:schemeClr val="phClr">
              <a:shade val="95000"/>
              <a:satMod val="105000"/>
            </a:schemeClr>
          </a:solidFill>
          <a:prstDash val="solid"/>
        </a:ln>
        <a:ln w="25400" cap="rnd" cmpd="sng" algn="ctr">
          <a:solidFill>
            <a:schemeClr val="phClr"/>
          </a:solidFill>
          <a:prstDash val="solid"/>
        </a:ln>
        <a:ln w="34925" cap="rnd" cmpd="sng" algn="ctr">
          <a:solidFill>
            <a:schemeClr val="phClr"/>
          </a:solidFill>
          <a:prstDash val="solid"/>
        </a:ln>
      </a:lnStyleLst>
      <a:effectStyleLst>
        <a:effectStyle>
          <a:effectLst>
            <a:outerShdw blurRad="50800" algn="tl" rotWithShape="0">
              <a:srgbClr val="000000">
                <a:alpha val="64000"/>
              </a:srgbClr>
            </a:outerShdw>
          </a:effectLst>
        </a:effectStyle>
        <a:effectStyle>
          <a:effectLst>
            <a:outerShdw blurRad="39000" dist="25400" dir="5400000">
              <a:srgbClr val="000000">
                <a:alpha val="35000"/>
              </a:srgbClr>
            </a:outerShdw>
          </a:effectLst>
        </a:effectStyle>
        <a:effectStyle>
          <a:effectLst>
            <a:outerShdw blurRad="39000" dist="25400" dir="5400000">
              <a:srgbClr val="000000">
                <a:alpha val="35000"/>
              </a:srgbClr>
            </a:outerShdw>
          </a:effectLst>
          <a:scene3d>
            <a:camera prst="orthographicFront" fov="0">
              <a:rot lat="0" lon="0" rev="0"/>
            </a:camera>
            <a:lightRig rig="threePt" dir="t">
              <a:rot lat="0" lon="0" rev="0"/>
            </a:lightRig>
          </a:scene3d>
          <a:sp3d prstMaterial="matte">
            <a:bevelT h="22225"/>
          </a:sp3d>
        </a:effectStyle>
      </a:effectStyleLst>
      <a:bgFillStyleLst>
        <a:solidFill>
          <a:schemeClr val="phClr"/>
        </a:solidFill>
        <a:gradFill rotWithShape="1">
          <a:gsLst>
            <a:gs pos="0">
              <a:schemeClr val="phClr">
                <a:shade val="50000"/>
                <a:satMod val="155000"/>
              </a:schemeClr>
            </a:gs>
            <a:gs pos="35000">
              <a:schemeClr val="phClr">
                <a:shade val="75000"/>
                <a:satMod val="155000"/>
              </a:schemeClr>
            </a:gs>
            <a:gs pos="100000">
              <a:schemeClr val="phClr">
                <a:tint val="80000"/>
                <a:satMod val="255000"/>
              </a:schemeClr>
            </a:gs>
          </a:gsLst>
          <a:lin ang="16200000" scaled="0"/>
        </a:gradFill>
        <a:gradFill rotWithShape="1">
          <a:gsLst>
            <a:gs pos="0">
              <a:schemeClr val="phClr">
                <a:tint val="80000"/>
                <a:satMod val="300000"/>
              </a:schemeClr>
            </a:gs>
            <a:gs pos="100000">
              <a:schemeClr val="phClr">
                <a:shade val="30000"/>
                <a:satMod val="200000"/>
              </a:schemeClr>
            </a:gs>
          </a:gsLst>
          <a:path path="circle">
            <a:fillToRect l="100000" t="100000" r="100000" b="10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ashWordDoc</Template>
  <TotalTime>0</TotalTime>
  <Pages>16</Pages>
  <Words>6654</Words>
  <Characters>38304</Characters>
  <Application>Microsoft Office Word</Application>
  <DocSecurity>0</DocSecurity>
  <Lines>798</Lines>
  <Paragraphs>408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44550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Nelson, Jessica 12536</cp:lastModifiedBy>
  <cp:revision>15</cp:revision>
  <dcterms:created xsi:type="dcterms:W3CDTF">2023-08-09T09:53:00Z</dcterms:created>
  <dcterms:modified xsi:type="dcterms:W3CDTF">2023-08-16T16:43:00Z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shurstAuthorID">
    <vt:lpwstr>JNELSO</vt:lpwstr>
  </property>
  <property fmtid="{D5CDD505-2E9C-101B-9397-08002B2CF9AE}" pid="3" name="AshurstAuthorName">
    <vt:lpwstr>Nelson, Jessica 12536</vt:lpwstr>
  </property>
  <property fmtid="{D5CDD505-2E9C-101B-9397-08002B2CF9AE}" pid="4" name="AshurstClientDescription">
    <vt:lpwstr>J.P. Morgan Securities Plc</vt:lpwstr>
  </property>
  <property fmtid="{D5CDD505-2E9C-101B-9397-08002B2CF9AE}" pid="5" name="AshurstClientID">
    <vt:lpwstr>AshurstClientID</vt:lpwstr>
  </property>
  <property fmtid="{D5CDD505-2E9C-101B-9397-08002B2CF9AE}" pid="6" name="AshurstClientNumber">
    <vt:lpwstr>JPM27</vt:lpwstr>
  </property>
  <property fmtid="{D5CDD505-2E9C-101B-9397-08002B2CF9AE}" pid="7" name="AshurstDocNumber">
    <vt:lpwstr>361449319</vt:lpwstr>
  </property>
  <property fmtid="{D5CDD505-2E9C-101B-9397-08002B2CF9AE}" pid="8" name="AshurstDocRef">
    <vt:lpwstr>10:53\09 August 2023\EUS_ONPREM\JNELSO\361449319.03</vt:lpwstr>
  </property>
  <property fmtid="{D5CDD505-2E9C-101B-9397-08002B2CF9AE}" pid="9" name="AshurstDocRefCoverPage">
    <vt:lpwstr>AshurstDocRefCoverPage</vt:lpwstr>
  </property>
  <property fmtid="{D5CDD505-2E9C-101B-9397-08002B2CF9AE}" pid="10" name="AshurstDocType">
    <vt:lpwstr/>
  </property>
  <property fmtid="{D5CDD505-2E9C-101B-9397-08002B2CF9AE}" pid="11" name="AshurstFeeEarnerInitials">
    <vt:lpwstr>FE Initials</vt:lpwstr>
  </property>
  <property fmtid="{D5CDD505-2E9C-101B-9397-08002B2CF9AE}" pid="12" name="AshurstFileNumber">
    <vt:lpwstr>JPM27.1000-177-570</vt:lpwstr>
  </property>
  <property fmtid="{D5CDD505-2E9C-101B-9397-08002B2CF9AE}" pid="13" name="AshurstLibraryName">
    <vt:lpwstr>EUS_ONPREM</vt:lpwstr>
  </property>
  <property fmtid="{D5CDD505-2E9C-101B-9397-08002B2CF9AE}" pid="14" name="AshurstMatterDescription">
    <vt:lpwstr>(i) Supplement No. 4 to the 20 April 2023 Offering Circular, (ii) Supplement No. 5 to the 20 April 2023 Base Prospectus, (iii) Supplement No. 4 to 19 April 2023 JPMorgan Chase Financial Company LLC Registration Document, (iv) Supplement No. 4 to</vt:lpwstr>
  </property>
  <property fmtid="{D5CDD505-2E9C-101B-9397-08002B2CF9AE}" pid="15" name="AshurstMatterID">
    <vt:lpwstr>AshurstMatterID</vt:lpwstr>
  </property>
  <property fmtid="{D5CDD505-2E9C-101B-9397-08002B2CF9AE}" pid="16" name="AshurstMatterNumber">
    <vt:lpwstr>1000-177-570</vt:lpwstr>
  </property>
  <property fmtid="{D5CDD505-2E9C-101B-9397-08002B2CF9AE}" pid="17" name="AshurstOurRef">
    <vt:lpwstr>JNELSO\JPM27.1000-177-570</vt:lpwstr>
  </property>
  <property fmtid="{D5CDD505-2E9C-101B-9397-08002B2CF9AE}" pid="18" name="AshurstPartnerInitials">
    <vt:lpwstr>Partner Initials</vt:lpwstr>
  </property>
  <property fmtid="{D5CDD505-2E9C-101B-9397-08002B2CF9AE}" pid="19" name="AshurstTypistID">
    <vt:lpwstr/>
  </property>
  <property fmtid="{D5CDD505-2E9C-101B-9397-08002B2CF9AE}" pid="20" name="AshurstTypistName">
    <vt:lpwstr/>
  </property>
  <property fmtid="{D5CDD505-2E9C-101B-9397-08002B2CF9AE}" pid="21" name="AshurstVersionNumber">
    <vt:lpwstr/>
  </property>
  <property fmtid="{D5CDD505-2E9C-101B-9397-08002B2CF9AE}" pid="22" name="document number">
    <vt:lpwstr>\</vt:lpwstr>
  </property>
</Properties>
</file>